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10.09.2026  |  109 Studien  |  adipositas.m-vf.de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Kombiniertes Aerob- und Krafttraining senkt Blutzucker und Lipide bei Diabesity optimal</w:t>
      </w:r>
    </w:p>
    <w:p>
      <w:r>
        <w:rPr>
          <w:i/>
          <w:color w:val="666666"/>
          <w:sz w:val="18"/>
        </w:rPr>
        <w:t>Al-Mhanna SB et al.  ·  J Sports Sci Med  ·  01.09.2026  ·  PMID 42713583</w:t>
      </w:r>
    </w:p>
    <w:p>
      <w:r>
        <w:t>Netzwerk-Metaanalyse von 32 RCTs (n=1.519 Patienten mit Typ-2-Diabetes und Adipositas) zum Vergleich von Trainingsmodalitäten auf Stoffwechselparameter und Körperkomposition.</w:t>
      </w:r>
    </w:p>
    <w:p>
      <w:r>
        <w:rPr>
          <w:b/>
        </w:rPr>
        <w:t xml:space="preserve">Ergebnis: </w:t>
      </w:r>
      <w:r>
        <w:t>Kombiniertes Aerob- und Krafttraining zeigte beste Ergebnisse für BMI-Reduktion (MD −1,78; SUCRA 93%), Triglyzeride (TG MD −0,28; SUCRA 95%), Gesamt-Cholesterin (TC MD −0,36; SUCRA 94,2%) und HOMA-IR (MD −0,92; SUCRA 92,6%). HDL stieg am stärksten (MD +0,12; SUCRA 97,5%). Aerobtraining allein senkte Nüchternblutzucker besser (MD −0,89 mmol/L), erhöhte aber Körperfett und senkte fettfreie Masse stärker als Krafttraining.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Systematische Evidenzsynthese internationale RCTs, Versorgungsrealität Deutschland vergleichbar</w:t>
      </w:r>
    </w:p>
    <w:p>
      <w:r>
        <w:rPr>
          <w:color w:val="5A7D3A"/>
          <w:sz w:val="18"/>
        </w:rPr>
        <w:t>https://pubmed.ncbi.nlm.nih.gov/42713583/</w:t>
      </w:r>
    </w:p>
    <w:p>
      <w:pPr>
        <w:pStyle w:val="Heading2"/>
      </w:pPr>
      <w:r>
        <w:t>Psychosoziale Faktoren beeinflussen Adipositas bei russischen Jugendlichen stärker als früher erwartet</w:t>
      </w:r>
    </w:p>
    <w:p>
      <w:r>
        <w:rPr>
          <w:i/>
          <w:color w:val="666666"/>
          <w:sz w:val="18"/>
        </w:rPr>
        <w:t>Khafizova AA et al.  ·  Am J Hum Biol  ·  Sept. 2026  ·  PMID 42669599</w:t>
      </w:r>
    </w:p>
    <w:p>
      <w:r>
        <w:t>Querschnittstudie russischer Hochschulstudierender (n=1.759, 17–25 Jahre) aus vier Städten zur Rolle von Sozioökonomie, Psyche und Umweltfaktoren auf BMI und zentrale Adipositas (Waist-to-Height-Ratio).</w:t>
      </w:r>
    </w:p>
    <w:p>
      <w:r>
        <w:rPr>
          <w:b/>
        </w:rPr>
        <w:t xml:space="preserve">Ergebnis: </w:t>
      </w:r>
      <w:r>
        <w:t>Angstsymptome waren in Moskau und Petrozavodsk mit Körpergewicht assoziiert; bei Männern aus Krasnodar zeigten sich Assoziationen mit mütterlicher Bildung und Familiengröße. Während makroökonomische Stabilität zunahm, schwächten sich sozioökonomische Effekte auf Anthropometrie ab, während psychosoziale Faktoren an Bedeutung gewannen (p&lt;0,05 für Trait-Angst).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Russland, andere Sozialversicherung; psychosoziale Determinanten gelten über Systeme hinweg</w:t>
      </w:r>
    </w:p>
    <w:p>
      <w:r>
        <w:rPr>
          <w:color w:val="5A7D3A"/>
          <w:sz w:val="18"/>
        </w:rPr>
        <w:t>https://pubmed.ncbi.nlm.nih.gov/42669599/</w:t>
      </w:r>
    </w:p>
    <w:p>
      <w:pPr>
        <w:pStyle w:val="Heading2"/>
      </w:pPr>
      <w:r>
        <w:t>Sarkopenische Adipositas erhöht Typ-2-Diabetes-Risiko deutlich über Adipositas allein</w:t>
      </w:r>
    </w:p>
    <w:p>
      <w:r>
        <w:rPr>
          <w:i/>
          <w:color w:val="666666"/>
          <w:sz w:val="18"/>
        </w:rPr>
        <w:t>Guan Z et al.  ·  Diabetes Care  ·  01.09.2026  ·  PMID 42439362</w:t>
      </w:r>
    </w:p>
    <w:p>
      <w:r>
        <w:t>UK-Biobank-Kohortenstudie (n=479.607) zur Assoziation von sarkopenischer Adipositas (geringe Muskelkraft + niedriger Muskelmasseanteil + hoher Fettmasseanteil) mit Typ-2-Diabetes über medianen Follow-up von 14,2 Jahren.</w:t>
      </w:r>
    </w:p>
    <w:p>
      <w:r>
        <w:rPr>
          <w:b/>
        </w:rPr>
        <w:t xml:space="preserve">Ergebnis: </w:t>
      </w:r>
      <w:r>
        <w:t>Bei 32.948 Diabetes-Fällen zeigte sarkopenische Adipositas das höchste Risiko (HR 3,54; 95% KI 3,34–3,74), deutlich höher als Adipositas allein oder Sarcopenie allein. Transitionen zu sarkopenischer Adipositas (HR 2,90) und persistierende sarkopenische Adipositas (HR 3,07) erhöhten das Risiko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Gesundheitssystem, große Routinedatenbank mit Muskelkraftmessung</w:t>
      </w:r>
    </w:p>
    <w:p>
      <w:r>
        <w:rPr>
          <w:color w:val="5A7D3A"/>
          <w:sz w:val="18"/>
        </w:rPr>
        <w:t>https://pubmed.ncbi.nlm.nih.gov/42439362/</w:t>
      </w:r>
    </w:p>
    <w:p>
      <w:pPr>
        <w:pStyle w:val="Heading2"/>
      </w:pPr>
      <w:r>
        <w:t>Frühe Anastomosenlecks nach Adipositaschirurgie kosten pro Fall €40.000–€42.000</w:t>
      </w:r>
    </w:p>
    <w:p>
      <w:r>
        <w:rPr>
          <w:i/>
          <w:color w:val="666666"/>
          <w:sz w:val="18"/>
        </w:rPr>
        <w:t>Balibrea JM et al.  ·  Br J Surg  ·  02.07.2026  ·  PMID 42435065</w:t>
      </w:r>
    </w:p>
    <w:p>
      <w:r>
        <w:t>Spanische Kostenanalyse von Frühkomplikationen (lecks) nach laparoskopischer Sleeve-Gastrektomie (LSG, n=82 Fälle/Jahr) und Roux-en-Y-Bypass (RYGB, n=18 Fälle/Jahr) im nationalen Gesundheitssystem über 1 Jahr (Gesamtbudget €4,2 Mio.).</w:t>
      </w:r>
    </w:p>
    <w:p>
      <w:r>
        <w:rPr>
          <w:b/>
        </w:rPr>
        <w:t xml:space="preserve">Ergebnis: </w:t>
      </w:r>
      <w:r>
        <w:t>Durchschnittliche Kosten pro frühem Leak: LSG €42.285 (Spanne €13.358–€94.532), RYGB €40.971 (€13.110–€94.284). Gesamtbudgetauswirkung für beide Verfahren €4,2 Mio./Jahr, dominiert durch verlängerte Krankenhausaufenthalte und Interventionen. Sensitivitätsanalyse: €1,2–€7,2 Mio.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Spanischer NHS, vergleichbare Dokumentation und Kostenstrukturen zu Deutschland</w:t>
      </w:r>
    </w:p>
    <w:p>
      <w:r>
        <w:rPr>
          <w:color w:val="5A7D3A"/>
          <w:sz w:val="18"/>
        </w:rPr>
        <w:t>https://pubmed.ncbi.nlm.nih.gov/42435065/</w:t>
      </w:r>
    </w:p>
    <w:p>
      <w:pPr>
        <w:pStyle w:val="Heading2"/>
      </w:pPr>
      <w:r>
        <w:t>Sozioökonomie und Therapieerfolg bei Adipositas im Kindesalter: Deutschland und Schweden</w:t>
      </w:r>
    </w:p>
    <w:p>
      <w:r>
        <w:rPr>
          <w:i/>
          <w:color w:val="666666"/>
          <w:sz w:val="18"/>
        </w:rPr>
        <w:t>Auzanneau M et al.  ·  PLoS Med  ·  09.07.2026  ·  PMID 42424383</w:t>
      </w:r>
    </w:p>
    <w:p>
      <w:r>
        <w:t>Zwei-Länder-Kohortenvergleich (n=31.293 Kinder mit mindestens 6 Monaten Verhaltenstherapie) zum Einfluss des sozioökonomischen Status (SES) auf die Gewichtsabnahme und Therapieabbruch in strukturierten Adipositas-Behandlungsprogrammen.</w:t>
      </w:r>
    </w:p>
    <w:p>
      <w:r>
        <w:rPr>
          <w:b/>
        </w:rPr>
        <w:t xml:space="preserve">Ergebnis: </w:t>
      </w:r>
      <w:r>
        <w:t>In Deutschland zeigte höherer SES bessere BMI-SDS-Reduktion nach 2 Jahren (−0,36 vs. −0,24 für höchste vs. niedrigste Quintile, Differenz −0,12; p&lt;0,001) und niedrigere Abbruchquote (OR 0,82; p&lt;0,001); in Schweden war SES für BMI-Reduktion nicht assoziiert (p=0,143), aber Remissionschancen waren in beiden Ländern mit höherem SES erhöht (Schweden RR 1,63; Deutschland RR 1,35; beide p&lt;0,001). Ungleichheit in Therapieergebnissen ist in Deutschland ausgeprägter.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Schweden, vergleichbare Versicherungssysteme, strukturierte Adipositas-Programme</w:t>
      </w:r>
    </w:p>
    <w:p>
      <w:r>
        <w:rPr>
          <w:color w:val="5A7D3A"/>
          <w:sz w:val="18"/>
        </w:rPr>
        <w:t>https://pubmed.ncbi.nlm.nih.gov/42424383/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Übergewicht bei Kindern in Navarra rückläufig, Adipositas stabil</w:t>
      </w:r>
    </w:p>
    <w:p>
      <w:r>
        <w:rPr>
          <w:i/>
          <w:color w:val="666666"/>
          <w:sz w:val="18"/>
        </w:rPr>
        <w:t>Ciriza Barea E et al.  ·  Rev Esp Salud Publica  ·  04.09.2026  ·  PMID 42708817</w:t>
      </w:r>
    </w:p>
    <w:p>
      <w:r>
        <w:t>Bevölkerungsgestützte Überwachungsstudie zur Prävalenzentwicklung von Übergewicht und Adipositas bei Kindern und Jugendlichen in Nordspanien 2007–2023.</w:t>
      </w:r>
    </w:p>
    <w:p>
      <w:r>
        <w:rPr>
          <w:b/>
        </w:rPr>
        <w:t xml:space="preserve">Ergebnis: </w:t>
      </w:r>
      <w:r>
        <w:t>Übergewicht sank signifikant um über 5 Prozentpunkte in Jungen (21,8 % auf 16,5 % im Alter 6–9 Jahre) und weniger ausgeprägt in Mädchen (23 % auf 18,2 %). Adipositas blieb hingegen stabil bei etwa 10–12 % oder stieg (Mädchen 10–14 Jahre: 6,9 % auf 7,8 %). Die Befunde zeigen Divergenz zwischen Übergewichts- und Adipositas-Trend.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Primärversorgungsdaten mit hoher Bevölkerungsabdeckung (93 %), ähnliche Prävention wie Deutschland.</w:t>
      </w:r>
    </w:p>
    <w:p>
      <w:r>
        <w:rPr>
          <w:color w:val="5A7D3A"/>
          <w:sz w:val="18"/>
        </w:rPr>
        <w:t>https://pubmed.ncbi.nlm.nih.gov/42708817/</w:t>
      </w:r>
    </w:p>
    <w:p>
      <w:pPr>
        <w:pStyle w:val="Heading2"/>
      </w:pPr>
      <w:r>
        <w:t>Kinderadipositas und Armut: Jungen und sozial Schwache stärker betroffen</w:t>
      </w:r>
    </w:p>
    <w:p>
      <w:r>
        <w:rPr>
          <w:i/>
          <w:color w:val="666666"/>
          <w:sz w:val="18"/>
        </w:rPr>
        <w:t>Pichiule-Castañeda M et al.  ·  Rev Esp Salud Publica  ·  07.09.2026  ·  PMID 42708243</w:t>
      </w:r>
    </w:p>
    <w:p>
      <w:r>
        <w:t>Longitudinale Kohortenstudie zu sozioökonomischen Determinanten der Adipositas bei 2.124 Kindern in Madrid, Messung alle 3 Jahre von Alter 4–6 bis 14 Jahren (2012–2024).</w:t>
      </w:r>
    </w:p>
    <w:p>
      <w:r>
        <w:rPr>
          <w:b/>
        </w:rPr>
        <w:t xml:space="preserve">Ergebnis: </w:t>
      </w:r>
      <w:r>
        <w:t>Gesamtadipositasprävalenz in mindestens einer Messung 20,1 % (95%-KI 18,4–21,8). Adipositas assoziiert mit männlichem Geschlecht (RPa 1,40; 95%-KI 1,17–1,68) und niedriger Familienwohlfahrt (RPa 1,36; 95%-KI 1,03–1,80). Sozioökonomische Unterschiede bestätigt und persistierend.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Longitudinaldaten zur Ungleichheit; ähnliche Sozialsysteme wie Deutschland.</w:t>
      </w:r>
    </w:p>
    <w:p>
      <w:r>
        <w:rPr>
          <w:color w:val="5A7D3A"/>
          <w:sz w:val="18"/>
        </w:rPr>
        <w:t>https://pubmed.ncbi.nlm.nih.gov/42708243/</w:t>
      </w:r>
    </w:p>
    <w:p>
      <w:pPr>
        <w:pStyle w:val="Heading2"/>
      </w:pPr>
      <w:r>
        <w:t>Notfallkomplikationen nach Adipositaschirurgie in Not-Aufnahmezentren häufig und schwer</w:t>
      </w:r>
    </w:p>
    <w:p>
      <w:r>
        <w:rPr>
          <w:i/>
          <w:color w:val="666666"/>
          <w:sz w:val="18"/>
        </w:rPr>
        <w:t>Boșneagu RD et al.  ·  Chirurgia (Bucur)  ·  Juli 2026  ·  PMID 42703978</w:t>
      </w:r>
    </w:p>
    <w:p>
      <w:r>
        <w:t>Retrospektive deskriptive Fallsammlung: 45 Notfall- oder Halbnotfall-Vorstellungen nach Adipositaschirurgie (durchgeführt anderswo) an regionälem Zentrum ohne bariatrische Eigenkompetenz, März 2021–Mai 2025.</w:t>
      </w:r>
    </w:p>
    <w:p>
      <w:r>
        <w:rPr>
          <w:b/>
        </w:rPr>
        <w:t xml:space="preserve">Ergebnis: </w:t>
      </w:r>
      <w:r>
        <w:t>73 % Frauen, Median-BMI 36 kg/m², 84 % Sleeve-Gastrektomie. Spektrum: Gallenblasen-/Pankreas-Erkrankung 27 %, Fistel/Leck 16 %, Stenose 22 %, Obstruktion 16 %. 80 % invasive Behandlung, 20 % Intensivcare, 24 % schwerer Verlauf, 16 % High-Acuity-Definition, 1 Todesfall (2,2 %).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Sekundär-Datensammlung; zeigt Koordinationsmangel ähnlich Deutschland mit dezentralen Kliniken.</w:t>
      </w:r>
    </w:p>
    <w:p>
      <w:r>
        <w:rPr>
          <w:color w:val="5A7D3A"/>
          <w:sz w:val="18"/>
        </w:rPr>
        <w:t>https://pubmed.ncbi.nlm.nih.gov/42703978/</w:t>
      </w:r>
    </w:p>
    <w:p>
      <w:pPr>
        <w:pStyle w:val="Heading2"/>
      </w:pPr>
      <w:r>
        <w:t>Semaglutide reduziert Nierenkomplikationen bei kardio-metabolischer Erkrankung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3 Phase-3-RCTs (SELECT, FLOW, SOUL) mit N = 30.787 Teilnehmern zu Nieren-Outcomes unter Semaglutide vs. Placebo, Follow-up 39,5–47,5 Monate.</w:t>
      </w:r>
    </w:p>
    <w:p>
      <w:r>
        <w:rPr>
          <w:b/>
        </w:rPr>
        <w:t xml:space="preserve">Ergebnis: </w:t>
      </w:r>
      <w:r>
        <w:t>Semaglutide reduzierte primäre Nierenkompositum (≥50 % eGFR-Fall, Nierenversagen, nierenbezogener Tod oder kardiovaskulärer Tod): 973 vs. 1.134 Ereignisse; HR 0,84 (95%-KI 0,77–0,91). Nebenwirkungen insgesamt ähnlich oder numerisch niedriger mit Semaglutide.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USA-getriebene Zulassungsstudie, aber Nierenschutz-Befund länderneutral; in Deutschland SGB-V-Ausschluss relevant.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2"/>
      </w:pPr>
      <w:r>
        <w:t>Adipositas-induzierte Indizes vorhersagen Multimorbidität kardio-renal-metabolisch besser als BMI allein</w:t>
      </w:r>
    </w:p>
    <w:p>
      <w:r>
        <w:rPr>
          <w:i/>
          <w:color w:val="666666"/>
          <w:sz w:val="18"/>
        </w:rPr>
        <w:t>Chen Q et al.  ·  Diabetes Res Clin Pract  ·  01.08.2026  ·  PMID 42542252</w:t>
      </w:r>
    </w:p>
    <w:p>
      <w:r>
        <w:t>Retrospektive Kohortenanalysе aus UK Biobank (N = 374.513) und CHARLS (China, N = 6.401) zu C-reaktives-Protein-Triglyzerid-Glukose-Index (CTI) und 5 Adipositas-Derivaten für Vorhersage kardio-renal-metabolischer Multimorbidität.</w:t>
      </w:r>
    </w:p>
    <w:p>
      <w:r>
        <w:rPr>
          <w:b/>
        </w:rPr>
        <w:t xml:space="preserve">Ergebnis: </w:t>
      </w:r>
      <w:r>
        <w:t>Über 15,98 Jahre folgten 13.315 CRMM-Fälle. CTI-WC zeigte stärkste Assoziation (HR 1,974, 95%-KI 1,943–2,007), gefolgt von CTI-WHtR (HR 1,919, 95%-KI 1,890–1,950). NRI 21,16–23,93 %, IDI 1,05–1,51 %, ΔC-Index 0,029–0,038 – Verbesserung der Risikostratifikation über klassische Maße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(hohe Transferenz) mit Validierung in China; Adipositas-Phänotypisierung für deutsche Risikovorhersage relevant.</w:t>
      </w:r>
    </w:p>
    <w:p>
      <w:r>
        <w:rPr>
          <w:color w:val="5A7D3A"/>
          <w:sz w:val="18"/>
        </w:rPr>
        <w:t>https://pubmed.ncbi.nlm.nih.gov/42542252/</w:t>
      </w:r>
    </w:p>
    <w:p>
      <w:pPr>
        <w:pStyle w:val="Heading2"/>
      </w:pPr>
      <w:r>
        <w:t>Beinmuskulatur schützt vor Diabetes, Bauchfett erhöht Risiko – Geschlechtsspezifische Unterschiede</w:t>
      </w:r>
    </w:p>
    <w:p>
      <w:r>
        <w:rPr>
          <w:i/>
          <w:color w:val="666666"/>
          <w:sz w:val="18"/>
        </w:rPr>
        <w:t>Ma Y et al.  ·  Diabetes  ·  01.09.2026  ·  PMID 42467557</w:t>
      </w:r>
    </w:p>
    <w:p>
      <w:r>
        <w:t>Querschnitts- und prospektive Kohortenstudie an 258.500 UK-Biobank-Teilnehmern; Körperkompositions-Muster aus 28 anthropometrischen und bildgebenden Merkmalen mittels Hauptkomponentenanalyse.</w:t>
      </w:r>
    </w:p>
    <w:p>
      <w:r>
        <w:rPr>
          <w:b/>
        </w:rPr>
        <w:t xml:space="preserve">Ergebnis: </w:t>
      </w:r>
      <w:r>
        <w:t>7 interpretierbare Muster identifiziert. Generalisierte Adiposität erhöhte T2D-Risiko (Männer HR 1,73, 95%-KI 1,33–2,24; Frauen HR 2,21, 95%-KI 1,55–3,16). Bein-dominante Magermasse senkte Risiko (Männer HR 0,57, 95%-KI 0,48–0,68; Frauen HR 0,50, 95%-KI 0,40–0,63). Zentrale Magermasse zeigte inverse Assoziation vor allem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objektivem Imaging; Adipositäts-Phänotypisierung übertragbar auf deutsche Kohorten.</w:t>
      </w:r>
    </w:p>
    <w:p>
      <w:r>
        <w:rPr>
          <w:color w:val="5A7D3A"/>
          <w:sz w:val="18"/>
        </w:rPr>
        <w:t>https://pubmed.ncbi.nlm.nih.gov/42467557/</w:t>
      </w:r>
    </w:p>
    <w:p>
      <w:pPr>
        <w:pStyle w:val="Heading2"/>
      </w:pPr>
      <w:r>
        <w:t>Postbariatrische Impulskontrolle durch tDCS und psychosoziale Nachsorge: Pilot mit moderaten Effekten</w:t>
      </w:r>
    </w:p>
    <w:p>
      <w:r>
        <w:rPr>
          <w:i/>
          <w:color w:val="666666"/>
          <w:sz w:val="18"/>
        </w:rPr>
        <w:t>Rösch SA et al.  ·  Obes Surg  ·  15.07.2026  ·  PMID 42455493</w:t>
      </w:r>
    </w:p>
    <w:p>
      <w:r>
        <w:t>Randomisierte Pilotstudie (n = 19) zu Transkranieller Gleichstrom-Stimulation (tDCS) über rechts-dorsolateralem Präfrontalkortex plus Inhibitionstraining und psychosozialen Gruppen, 4 Wochen und 3 Monate nach Adipositaschirurgie.</w:t>
      </w:r>
    </w:p>
    <w:p>
      <w:r>
        <w:rPr>
          <w:b/>
        </w:rPr>
        <w:t xml:space="preserve">Ergebnis: </w:t>
      </w:r>
      <w:r>
        <w:t>Akzeptanz 67–80 %, Zufriedenheit M &gt; 4,38, Nebenwirkungen minimal (M = 1,46/5). Beide Gruppen zeigten moderate Verbesserungen in Essverhalten und Impulskontrolle, Hungergefühl, Lebensqualität, BMI und endokrinen Markern. Unterschied verum vs. sham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beteiligt; Machbarkeitsstudie mit zu kleiner Stichprobe für Effektivitätsschluss.</w:t>
      </w:r>
    </w:p>
    <w:p>
      <w:r>
        <w:rPr>
          <w:color w:val="5A7D3A"/>
          <w:sz w:val="18"/>
        </w:rPr>
        <w:t>https://pubmed.ncbi.nlm.nih.gov/42455493/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EASO-Rahmen: Morbidität statt BMI allein sagt Herzinsuffizienzrisiko voraus</w:t>
      </w:r>
    </w:p>
    <w:p>
      <w:r>
        <w:rPr>
          <w:i/>
          <w:color w:val="666666"/>
          <w:sz w:val="18"/>
        </w:rPr>
        <w:t>Tang L et al.  ·  Diabetes Metab Res Rev  ·  Sept. 2026  ·  PMID 42704620</w:t>
      </w:r>
    </w:p>
    <w:p>
      <w:r>
        <w:t>UK-Biobank-Analyse (449.550 Teilnehmende, 15,5 Jahre Follow-up) zur Frage, ob das neue EASO-Adipositas-Framework mit Morbidität bessere Risikostratifizierung für Herzinsuffizienz liefert als BMI allein.</w:t>
      </w:r>
    </w:p>
    <w:p>
      <w:r>
        <w:rPr>
          <w:b/>
        </w:rPr>
        <w:t xml:space="preserve">Ergebnis: </w:t>
      </w:r>
      <w:r>
        <w:t>Das EASO-Framework reclassifizierte 15,6 % der Übergewichtigen als adipös (Prävalenz 24,5 % → 40,1 %). Entscheidend: Übergewicht ohne Morbidität (WHtR &lt;0,5 und keine Begleitererkrankung) zeigte NIEDRIGES Risiko (HR 0,84 [0,80–0,89]), während Morbidität – nicht der BMI-Wert – das Risiko trieb. Übergewicht mit Morbidität: HR 1,32 [1,25–1,39]; BMI ≥30: HR 1,62 [1,53–1,71]. Morbidität erklärte die Risikozunahme über alle Gewichtskategorien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(generalisierbar auf europäische Systeme), Framework betont Funktionsstatus statt Kilogramm.</w:t>
      </w:r>
    </w:p>
    <w:p>
      <w:r>
        <w:rPr>
          <w:color w:val="5A7D3A"/>
          <w:sz w:val="18"/>
        </w:rPr>
        <w:t>https://pubmed.ncbi.nlm.nih.gov/42704620/</w:t>
      </w:r>
    </w:p>
    <w:p>
      <w:pPr>
        <w:pStyle w:val="Heading2"/>
      </w:pPr>
      <w:r>
        <w:t>Inflammations-Metabolismus-Adipositas-Index sagt Herzinsuffizienz stufenweise voraus, Effekt auf Stage 3–4 stärkst</w:t>
      </w:r>
    </w:p>
    <w:p>
      <w:r>
        <w:rPr>
          <w:i/>
          <w:color w:val="666666"/>
          <w:sz w:val="18"/>
        </w:rPr>
        <w:t>Dai F et al.  ·  Cardiovasc Diabetol  ·  26.07.2026  ·  PMID 42693449</w:t>
      </w:r>
    </w:p>
    <w:p>
      <w:r>
        <w:t>English Longitudinal Study of Ageing (1.946 ≥50-Jährige, 12 Jahre Follow-up) zu Frage, ob ein Composite-Index aus CRP, Triglycerid-Glucose-Index und Waist-to-Height-Ratio (CTGW) longitudinal Herzinsuffizienz besser vorhersagt als Einzelmarker.</w:t>
      </w:r>
    </w:p>
    <w:p>
      <w:r>
        <w:rPr>
          <w:b/>
        </w:rPr>
        <w:t xml:space="preserve">Ergebnis: </w:t>
      </w:r>
      <w:r>
        <w:t>113 Herzinsuffizienz-Fälle (5,8 %). Drei Trajektorien: low-stable (n=697), moderate-metabolic (n=943), high-inflammatory (n=306). High-inflammatory: HR 2,69 [1,46–4,93]; moderate-metabolic: HR 1,96 [1,17–3,29]. Kumulative Belastung (höchstes Quartil): HR 2,35 [1,31–4,24]. Nicht-linearer Dosis-Effekt (Schwellenwert ≈8,2). Effekt-Modifikation durch CKM-Stage: Stärkste Assoziation in Stage 3–4 (HR 2,37 [1,24–4,53]). Jede SD-Zunahme: 19 % Risikoanstieg (HR 1,19 [1,04–1,36]).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Kohortendaten, Messung von Entzündung und Metabolismus über alle Gewichtskategorien hinweg.</w:t>
      </w:r>
    </w:p>
    <w:p>
      <w:r>
        <w:rPr>
          <w:color w:val="5A7D3A"/>
          <w:sz w:val="18"/>
        </w:rPr>
        <w:t>https://pubmed.ncbi.nlm.nih.gov/42693449/</w:t>
      </w:r>
    </w:p>
    <w:p>
      <w:pPr>
        <w:pStyle w:val="Heading2"/>
      </w:pPr>
      <w:r>
        <w:t>Schlafstörungen und Adipositas-Inzidenz bei postmenopausalen Frauen: U-förmig für Dauer, linear für Störung</w:t>
      </w:r>
    </w:p>
    <w:p>
      <w:r>
        <w:rPr>
          <w:i/>
          <w:color w:val="666666"/>
          <w:sz w:val="18"/>
        </w:rPr>
        <w:t>Zhu M et al.  ·  Front Endocrinol (Lausanne)  ·  17.08.2026  ·  PMID 42676488</w:t>
      </w:r>
    </w:p>
    <w:p>
      <w:r>
        <w:t>UK Biobank (68.419 nicht-adipöse postmenopausale Frauen, 13,33 Jahre Follow-up) zur Frage, ob multidimensionale Schlafmuster (Dauer, Insomnie, Chronotyp, Schnarchen, Tagesschläfrigkeit) die Adipositas-Inzidenz vorhersagen.</w:t>
      </w:r>
    </w:p>
    <w:p>
      <w:r>
        <w:rPr>
          <w:b/>
        </w:rPr>
        <w:t xml:space="preserve">Ergebnis: </w:t>
      </w:r>
      <w:r>
        <w:t>1.146 Adipositas-Fälle dokumentiert. Schlafmuster und Inzidenz: Kurz-Schlaf (≤6 h): HR 1,214; Lang-Schlaf (≥10 h): HR 1,654; häufige Insomnie: HR 1,320; Abend-Chronotyp: HR 1,224; Schnarchen: HR 1,234. U-förmige Beziehung der Schlafdauer zur Adipositas. Explorative indirekte Effekte über Inflammation und Lipide waren schwach. Keine signifikante Modifizierung durch Alter, Geschlecht, BMI-Ausgangswert.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Verhältnisse auf populationsebene; gezielte Schlaf-Intervention verdient Test.</w:t>
      </w:r>
    </w:p>
    <w:p>
      <w:r>
        <w:rPr>
          <w:color w:val="5A7D3A"/>
          <w:sz w:val="18"/>
        </w:rPr>
        <w:t>https://pubmed.ncbi.nlm.nih.gov/42676488/</w:t>
      </w:r>
    </w:p>
    <w:p>
      <w:pPr>
        <w:pStyle w:val="Heading2"/>
      </w:pPr>
      <w:r>
        <w:t>Neue Adipositas-Definitionen erhöhen Diagnose-Prävalenz, aber nur Lancet-Kriterien sagen Folgeerkrankungen voraus</w:t>
      </w:r>
    </w:p>
    <w:p>
      <w:r>
        <w:rPr>
          <w:i/>
          <w:color w:val="666666"/>
          <w:sz w:val="18"/>
        </w:rPr>
        <w:t>Qiao X et al.  ·  Diabetes Res Clin Pract  ·  25.08.2026  ·  PMID 42641806</w:t>
      </w:r>
    </w:p>
    <w:p>
      <w:r>
        <w:t>UK Biobank (498.353 Teilnehmende) zum Vergleich von BMI-basierten, EASO- und Lancet-Adipositas-Definitionen hinsichtlich Prävalenz und Vorhersagekraft für Typ-2-Diabetes, kardiovaskuläre Ereignisse, Nierenversagen und Mortalität.</w:t>
      </w:r>
    </w:p>
    <w:p>
      <w:r>
        <w:rPr>
          <w:b/>
        </w:rPr>
        <w:t xml:space="preserve">Ergebnis: </w:t>
      </w:r>
      <w:r>
        <w:t>EASO identifizierte 29,6 %, Lancet-Kriterien 63,4 % als adipös (vs. 24,8 % WHO-BMI). Unter Lancet-Kriterien diagnostizierte "klinische Adipositas" zeigte höchstes Risiko: Typ-2-Diabetes HR 12,33 [11,74–12,96], kardiovaskuläre Ereignisse HR 4,02 [3,89–4,16], Nierenversagen HR 7,13 [6,11–8,33], Mortalität HR 3,07 [2,99–3,15]. Übergewicht nach EASO oder Lancet war teilweise protektiv. Ethnische Unterschiede: Asien zeigten höhere Prevalenzen.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Framework-Wahl bestimmt Risikostratifizierung und Behandlungsindikation unmittelbar.</w:t>
      </w:r>
    </w:p>
    <w:p>
      <w:r>
        <w:rPr>
          <w:color w:val="5A7D3A"/>
          <w:sz w:val="18"/>
        </w:rPr>
        <w:t>https://pubmed.ncbi.nlm.nih.gov/42641806/</w:t>
      </w:r>
    </w:p>
    <w:p>
      <w:pPr>
        <w:pStyle w:val="Heading2"/>
      </w:pPr>
      <w:r>
        <w:t>Ernährungswissen allein reicht nicht: Verhältnisse (Umwelt, Fertigkeiten) bestimmen Essverhalten bei adipösen Jugendlichen</w:t>
      </w:r>
    </w:p>
    <w:p>
      <w:r>
        <w:rPr>
          <w:i/>
          <w:color w:val="666666"/>
          <w:sz w:val="18"/>
        </w:rPr>
        <w:t>Wawrzyniak A et al.  ·  Nutrients  ·  13.07.2026  ·  PMID 42514356</w:t>
      </w:r>
    </w:p>
    <w:p>
      <w:r>
        <w:t>Querschnittstudie an 1.440 polnischen Schülern (10–18 Jahre) zur Frage, wie Ernährungswissen (NRK) und -praxis (NRP) nach BMI-Status differieren und welche Faktoren diese Kluft erklären.</w:t>
      </w:r>
    </w:p>
    <w:p>
      <w:r>
        <w:rPr>
          <w:b/>
        </w:rPr>
        <w:t xml:space="preserve">Ergebnis: </w:t>
      </w:r>
      <w:r>
        <w:t>Adipöse Schüler zeigten signifikant niedriges Wissen (NRK 46 % vs. Normalgewicht 52–53 %, p&lt;0,05) und Praxis (NRP 30 % vs. 33–34 %). Hohes Wissen assoziiert mit: älterem Alter, weiblichem Geschlecht, urbaner Lebensort (bei Übergewicht/Adipositas), höherer mütterlicher Bildung (bei Normal-/Untergewicht). Bessere Praxis assoziiert mit höherem Wissen PLUS höherer körperlicher Aktivität UND ländlicher/kleinstädtischer Umgebung (protektiv für Normalgewicht). Schlussfolgerung: Wissen ist notwendig, aber nicht ausreichend; praktische Fertigkeiten und Umweltfaktoren spielen entscheidende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aber Befunde auf deutsches Schulsystem übertragbar (Unterschicht-Gradienten, Umwelteinflüsse).</w:t>
      </w:r>
    </w:p>
    <w:p>
      <w:r>
        <w:rPr>
          <w:color w:val="5A7D3A"/>
          <w:sz w:val="18"/>
        </w:rPr>
        <w:t>https://pubmed.ncbi.nlm.nih.gov/42514356/</w:t>
      </w:r>
    </w:p>
    <w:p>
      <w:pPr>
        <w:pStyle w:val="Heading2"/>
      </w:pPr>
      <w:r>
        <w:t>Alltags-Bewegungsmuster mediieren 37–49 % der Adipositas-Mortalitäts-Assoziation; optimale Zusammensetzung für Frauen und Männer unterschiedlich</w:t>
      </w:r>
    </w:p>
    <w:p>
      <w:r>
        <w:rPr>
          <w:i/>
          <w:color w:val="666666"/>
          <w:sz w:val="18"/>
        </w:rPr>
        <w:t>Huang Y et al.  ·  J Sports Sci  ·  21.07.2026  ·  PMID 42482328</w:t>
      </w:r>
    </w:p>
    <w:p>
      <w:r>
        <w:t>UK Biobank (90.289 Teilnehmende, 7-Tage-Wrist-Beschleunigungsmessung) zur Frage, wie 24-Stunden-Bewegungsmuster (leichte Aktivität, moderate-vigorous, Stillzeit, Schlaf) unter dem EASO-Adipositas-Framework die Mortalität mediieren und welche Zeitverteilung optimal ist.</w:t>
      </w:r>
    </w:p>
    <w:p>
      <w:r>
        <w:rPr>
          <w:b/>
        </w:rPr>
        <w:t xml:space="preserve">Ergebnis: </w:t>
      </w:r>
      <w:r>
        <w:t>Kompositionelle Mediation: 37,7–49,0 % der Adipositas-Mortalitäts-Assoziation über Bewegung. MVPA trug am stärksten bei. Geschlechtsspezifische Effekte: Männer 59,2 % mediert (43,0 % via MVPA), Frauen 38,6 % (20,9 % via MVPA). Optimale tägliche Zusammensetzung: Frauen 1 h MVPA + 7 h leichte PA + 7 h Stillzeit + 9 h Schlaf; Männer 1,5 h MVPA + 7 h + 7 h + 8,5 h. Isotemporale Substitution: Ersetzen leichter durch moderate Aktivität senkt Mortalität progressiv.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objektivierte Bewegungsdaten; Empfehlungen sind geschlechtsspezifisch und praktisch umsetzbar.</w:t>
      </w:r>
    </w:p>
    <w:p>
      <w:r>
        <w:rPr>
          <w:color w:val="5A7D3A"/>
          <w:sz w:val="18"/>
        </w:rPr>
        <w:t>https://pubmed.ncbi.nlm.nih.gov/42482328/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