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17.09.2026  |  7 Studien  |  adipositas.m-vf.de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Wiederholte Lebensstilintervention: Marginal bessere Gewichtsabnahme in Kontemplationsphase</w:t>
      </w:r>
    </w:p>
    <w:p>
      <w:r>
        <w:rPr>
          <w:i/>
          <w:color w:val="666666"/>
          <w:sz w:val="18"/>
        </w:rPr>
        <w:t>Yoshida H et al.  ·  Environ Health Prev Med  ·  2026  ·  PMID 42749615</w:t>
      </w:r>
    </w:p>
    <w:p>
      <w:r>
        <w:t>Längsbeobachtungsstudie mit modifizierter Poisson-Regression an 2325 japanischen Männern (40–65 Jahre) aus Gesundheits-Screening-System 2018–2020: Vergleich wiederholter vs. einmaliger Spezifischer Gesundheitsberatung (SHG) auf Gewichtsabnahme ≥3%.</w:t>
      </w:r>
    </w:p>
    <w:p>
      <w:r>
        <w:rPr>
          <w:b/>
        </w:rPr>
        <w:t xml:space="preserve">Ergebnis: </w:t>
      </w:r>
      <w:r>
        <w:t>Wiederholte Gruppe (n=952) vs. Einzelintervention (n=1373): 16,0% vs. 13,5% erreichten ≥3% Gewichtsverlust (RR=1,18, 95% KI 0,97–1,44, nicht signifikant). Subgruppenanalyse Kontemplationsphase: 19,7% vs. 13,7% (RR=1,47, 95% KI 1,04–2,08), signifikant. Keine signifikante Gesamtassoziation.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nationales Screening-System, zeigt Grenzen wiederholter Routine-Interventionen.</w:t>
      </w:r>
    </w:p>
    <w:p>
      <w:r>
        <w:rPr>
          <w:color w:val="5A7D3A"/>
          <w:sz w:val="18"/>
        </w:rPr>
        <w:t>https://pubmed.ncbi.nlm.nih.gov/42749615/</w:t>
      </w:r>
    </w:p>
    <w:p>
      <w:pPr>
        <w:pStyle w:val="Heading2"/>
      </w:pPr>
      <w:r>
        <w:t>Sozioökonomische Verletzlichkeit treibt Adipositas bei Kindern über Ernährung</w:t>
      </w:r>
    </w:p>
    <w:p>
      <w:r>
        <w:rPr>
          <w:i/>
          <w:color w:val="666666"/>
          <w:sz w:val="18"/>
        </w:rPr>
        <w:t>Mahmood L et al.  ·  Eur J Pediatr  ·  16.09.2026  ·  PMID 42747589</w:t>
      </w:r>
    </w:p>
    <w:p>
      <w:r>
        <w:t>Längsschnittstudie an 1796 Kindern aus 6 europäischen Ländern zum zeitlichen Zusammenhang zwischen sozioökonomischer Verletzlichkeit, Ernährungsqualität und BMI-Veränderung über 2 Jahre.</w:t>
      </w:r>
    </w:p>
    <w:p>
      <w:r>
        <w:rPr>
          <w:b/>
        </w:rPr>
        <w:t xml:space="preserve">Ergebnis: </w:t>
      </w:r>
      <w:r>
        <w:t>Höhere sozioökonomische Verletzlichkeit sagte schlechtere Ernährungsmuster voraus (weniger Fleisch β=–0,100, weniger Obst/Gemüse β=–0,119, mehr salzige Snacks β=0,129, p&lt;0,001). Diese Ernährungsunterschiede trugen zu Übergewichtsrisiko bei. Fleischkonsum moderierte die Vulnerabilität-BMI-Assoziation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6 Länder, dokumentiert Ungleichheitsmechanismus.</w:t>
      </w:r>
    </w:p>
    <w:p>
      <w:r>
        <w:rPr>
          <w:color w:val="5A7D3A"/>
          <w:sz w:val="18"/>
        </w:rPr>
        <w:t>https://pubmed.ncbi.nlm.nih.gov/42747589/</w:t>
      </w:r>
    </w:p>
    <w:p>
      <w:pPr>
        <w:pStyle w:val="Heading2"/>
      </w:pPr>
      <w:r>
        <w:t>Probiotika mit Omega-3 senken Inflammationsmarker bei Adipositas am stärksten</w:t>
      </w:r>
    </w:p>
    <w:p>
      <w:r>
        <w:rPr>
          <w:i/>
          <w:color w:val="666666"/>
          <w:sz w:val="18"/>
        </w:rPr>
        <w:t>Chen Z et al.  ·  Nutrients  ·  07.09.2026  ·  PMID 42739108</w:t>
      </w:r>
    </w:p>
    <w:p>
      <w:r>
        <w:t>Systematische Übersicht und Netzwerk-Metaanalyse von 60 RCTs zu 14 Supplementierungsstrategien und Effekten auf Inflammationsmarker bei Übergewicht/Adipositas.</w:t>
      </w:r>
    </w:p>
    <w:p>
      <w:r>
        <w:rPr>
          <w:b/>
        </w:rPr>
        <w:t xml:space="preserve">Ergebnis: </w:t>
      </w:r>
      <w:r>
        <w:t>Grüntee-Extrakt senkte IL-6 (MD=–2,57, 95% KI [–3,99, –1,15]). Synbiotika reduzierten TNF-α stärksten (MD=–12,25, [–16,7, –7,8]). Probiotika+Omega-3, Synbiotika, Zink und Curcumin senkten alle CRP. Synbiotika erhöhten Adiponektin (MD=15,37, [12,13, 18,61]). Kein Supplement senkte Leptin signifikant. Effekte hingen von Alter, Trainings-Co-Intervention und Geschlechtsverteilung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zeigt mögliche unterstützende Maßnahmen, aber begrenzte individuelle Supplement-Wirkung.</w:t>
      </w:r>
    </w:p>
    <w:p>
      <w:r>
        <w:rPr>
          <w:color w:val="5A7D3A"/>
          <w:sz w:val="18"/>
        </w:rPr>
        <w:t>https://pubmed.ncbi.nlm.nih.gov/42739108/</w:t>
      </w:r>
    </w:p>
    <w:p>
      <w:pPr>
        <w:pStyle w:val="Heading2"/>
      </w:pPr>
      <w:r>
        <w:t>Südkoreas Adipositasgesetze: Mangelnde Finanzinstrumente bei regulatorischem Fokus</w:t>
      </w:r>
    </w:p>
    <w:p>
      <w:r>
        <w:rPr>
          <w:i/>
          <w:color w:val="666666"/>
          <w:sz w:val="18"/>
        </w:rPr>
        <w:t>Lee Y et al.  ·  Nutrients  ·  31.08.2026  ·  PMID 42739020</w:t>
      </w:r>
    </w:p>
    <w:p>
      <w:r>
        <w:t>Retrospektive Politikanalyse von 53 adipositasbezogenen Gesetzesentwürfen in Südkorea 2006–2024; Analyse von legislativen Trends und Einflussfaktoren.</w:t>
      </w:r>
    </w:p>
    <w:p>
      <w:r>
        <w:rPr>
          <w:b/>
        </w:rPr>
        <w:t xml:space="preserve">Ergebnis: </w:t>
      </w:r>
      <w:r>
        <w:t>16 Gesetzesentwürfe (30,2%) wurden verabschiedet oder in Alternativen integriert. Regulatorische Instrumente dominierten, gefolgt von Bildungs- und institutionellen Mitteln; fiskalische Maßnahmen waren selten. Legislative Aktivität clusterte 2013 und 2017–2019. Kindfokus und institutionelle Machbarkeit waren Erfolgsfaktoren, fiskalische und Strukturvorschläge scheiterten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zeigt Lücken in Prävention durch Steuer und Strukturreformen auf.</w:t>
      </w:r>
    </w:p>
    <w:p>
      <w:r>
        <w:rPr>
          <w:color w:val="5A7D3A"/>
          <w:sz w:val="18"/>
        </w:rPr>
        <w:t>https://pubmed.ncbi.nlm.nih.gov/42739020/</w:t>
      </w:r>
    </w:p>
    <w:p>
      <w:pPr>
        <w:pStyle w:val="Heading2"/>
      </w:pPr>
      <w:r>
        <w:t>Proteinreiches Sojagetränk: Langfristiger Nutzen für Körperzusammensetzung bei Frauen</w:t>
      </w:r>
    </w:p>
    <w:p>
      <w:r>
        <w:rPr>
          <w:i/>
          <w:color w:val="666666"/>
          <w:sz w:val="18"/>
        </w:rPr>
        <w:t>Berg A et al.  ·  Nutrients  ·  27.08.2026  ·  PMID 42738981</w:t>
      </w:r>
    </w:p>
    <w:p>
      <w:r>
        <w:t>Sekundäranalyse der multizentrischen ACOORH-RCT: 64 Frauen mit Übergewicht erhielten 26 Wochen lang entweder Lebensstiländerung allein oder kombiniert mit proteinreichem Soja-Joghurt-Honig-Mahlzeitenersatz; Nachverfolgung über 52 Wochen.</w:t>
      </w:r>
    </w:p>
    <w:p>
      <w:r>
        <w:rPr>
          <w:b/>
        </w:rPr>
        <w:t xml:space="preserve">Ergebnis: </w:t>
      </w:r>
      <w:r>
        <w:t>Beide Gruppen reduzierten Energieaufnahme in Woche 12. Interventionsgruppe erhöhte gewichtsadjustierte Proteinaufnahme (+0,22±0,29 g/kg/d; p=0,004) und behielt diese über 52 Wochen (p&lt;0,001). ANCOVA: signifikant bessere Verbesserung BMI (p=0,04) und Fettmasse (p=0,03). Woche 52: höhere Proteinaufnahme assoziiert mit niedrigerem BMI (r=–0,253, p=0,04) und Fettmasse (r=–0,321, p=0,01), höherer Muskelkraft (r=0,292, p=0,02).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multizentrisch, zeigt anhaltende Verhaltensänderung nach Intervention.</w:t>
      </w:r>
    </w:p>
    <w:p>
      <w:r>
        <w:rPr>
          <w:color w:val="5A7D3A"/>
          <w:sz w:val="18"/>
        </w:rPr>
        <w:t>https://pubmed.ncbi.nlm.nih.gov/42738981/</w:t>
      </w:r>
    </w:p>
    <w:p>
      <w:pPr>
        <w:pStyle w:val="Heading2"/>
      </w:pPr>
      <w:r>
        <w:t>Digitales Adipositasprogramm funktioniert über kulturelle Grenzen: Abu Dhabi und Stockholm</w:t>
      </w:r>
    </w:p>
    <w:p>
      <w:r>
        <w:rPr>
          <w:i/>
          <w:color w:val="666666"/>
          <w:sz w:val="18"/>
        </w:rPr>
        <w:t>Lindberg L et al.  ·  BMC Pediatr  ·  10.09.2026  ·  PMID 42736550</w:t>
      </w:r>
    </w:p>
    <w:p>
      <w:r>
        <w:t>Nicht-Inferioritätsstudie mit externem historischem Vergleich: 60 Kinder (6–15,9 Jahre) mit Adipositas in Abu Dhabi erhielten Evira (Digi-Physical-Tool); Vergleich mit 107 Stockholmer Kindern aus Vorläuferstudie, primäres Outcome BMI-z-Score-Veränderung bei 26 Wochen.</w:t>
      </w:r>
    </w:p>
    <w:p>
      <w:r>
        <w:rPr>
          <w:b/>
        </w:rPr>
        <w:t xml:space="preserve">Ergebnis: </w:t>
      </w:r>
      <w:r>
        <w:t>Abu Dhabi: –0,20 z-Score (95% KI –0,28 bis –0,12); Stockholm: –0,20 z-Score (–0,26 bis –0,14); p=0,88. Nicht-Inferioritätsmargin 0,10 nicht überschritten. 45,7% Abu Dhabi vs. 36,4% Stockholm erreichten klinisch signifikante Reduktion (≥0,20 Einheiten). Abbruchquoten 41,7% vs. 28,0% (p=0,07).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Skandinavien-Anwendungsstudie, zeigt Übertragbarkeit strukturierter Versorgung.</w:t>
      </w:r>
    </w:p>
    <w:p>
      <w:r>
        <w:rPr>
          <w:color w:val="5A7D3A"/>
          <w:sz w:val="18"/>
        </w:rPr>
        <w:t>https://pubmed.ncbi.nlm.nih.gov/42736550/</w:t>
      </w:r>
    </w:p>
    <w:p>
      <w:pPr>
        <w:pStyle w:val="Heading2"/>
      </w:pPr>
      <w:r>
        <w:t>Gestationsgewicht und Stoffwechsel beeinflussen Geburtsgewicht bei maternaler Adipositas</w:t>
      </w:r>
    </w:p>
    <w:p>
      <w:r>
        <w:rPr>
          <w:i/>
          <w:color w:val="666666"/>
          <w:sz w:val="18"/>
        </w:rPr>
        <w:t>Bonnichsen ML et al.  ·  Acta Obstet Gynecol Scand  ·  12.08.2026  ·  PMID 42583737</w:t>
      </w:r>
    </w:p>
    <w:p>
      <w:r>
        <w:t>Prospektive Kohortenstudie von 163 schwangeren Frauen mit Prägestations-BMI≥35 zur Assoziation von Gestationsgewichtszunahme und HbA1c mit fötalem Wachstum und Geburtsgewicht.</w:t>
      </w:r>
    </w:p>
    <w:p>
      <w:r>
        <w:rPr>
          <w:b/>
        </w:rPr>
        <w:t xml:space="preserve">Ergebnis: </w:t>
      </w:r>
      <w:r>
        <w:t>Durchschnittliches Geburtsgewicht normal (z-Score 0,117), aber 18,4% LGA und 12,9% SGA. In multivariater Analyse: wöchentliche Gewichtszunahme ab Woche 36 positiv assoziiert mit Geburtsgewicht (z-Score), HbA1c positiv assoziiert. Ein Drittel bekam GDM, ein Drittel davon brauchte medikamentöse 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 Klinikdaten, vergleichbares Gesundheitssystem, zeigt Bedeutung der Gewichtsmonitoring in der Schwangerschaft.</w:t>
      </w:r>
    </w:p>
    <w:p>
      <w:r>
        <w:rPr>
          <w:color w:val="5A7D3A"/>
          <w:sz w:val="18"/>
        </w:rPr>
        <w:t>https://pubmed.ncbi.nlm.nih.gov/42583737/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