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23.10.2026  |  6 Studien  |  adipositas.m-vf.de</w:t>
      </w:r>
    </w:p>
    <w:p>
      <w:pPr>
        <w:pStyle w:val="Heading1"/>
      </w:pPr>
      <w:r>
        <w:t>Aufgenommen am 23.10.2026</w:t>
      </w:r>
    </w:p>
    <w:p>
      <w:pPr>
        <w:pStyle w:val="Heading2"/>
      </w:pPr>
      <w:r>
        <w:t>Schulische Adipositasprävention in China: Verbesserte nur 26,6 % der übergewichtigen Kinder</w:t>
      </w:r>
    </w:p>
    <w:p>
      <w:r>
        <w:rPr>
          <w:i/>
          <w:color w:val="666666"/>
          <w:sz w:val="18"/>
        </w:rPr>
        <w:t>Chen JF et al.  ·  Zhonghua Liu Xing Bing Xue Za Zhi  ·  10.10.2026  ·  PMID 42907187</w:t>
      </w:r>
    </w:p>
    <w:p>
      <w:r>
        <w:t>Longitudinale Kohortenstudie bei 91.538 Grundschülern zum Verlauf der Übergewichtsquote unter bestehenden Präventionsmaßnahmen in städtischen und ländlichen Schulen (2022–2024).</w:t>
      </w:r>
    </w:p>
    <w:p>
      <w:r>
        <w:rPr>
          <w:b/>
        </w:rPr>
        <w:t xml:space="preserve">Ergebnis: </w:t>
      </w:r>
      <w:r>
        <w:t>Übergewichtsquote und Adipositasquote 2024: 14,59 % bzw. 14,34 % (beide gestiegen gegenüber 2022, p&lt;0,001). Von den übergewichtigen Kindern wurden nur 26,56 % normal gewichtig, nur 2,66 % der adipösen. Neue Fälle: 8,62 % Übergewicht, 1,08 % Adipositas. Landkinder hatten 1,25-faches Übergewicht- und 1,34-faches Adipositasrisiko vs. Stadt.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– zeigt, dass bestehende Schulprogramme unwirksam sind</w:t>
      </w:r>
    </w:p>
    <w:p>
      <w:r>
        <w:rPr>
          <w:color w:val="5A7D3A"/>
          <w:sz w:val="18"/>
        </w:rPr>
        <w:t>https://pubmed.ncbi.nlm.nih.gov/42907187/</w:t>
      </w:r>
    </w:p>
    <w:p>
      <w:pPr>
        <w:pStyle w:val="Heading2"/>
      </w:pPr>
      <w:r>
        <w:t>Spaniens Adipositäsprävention: Nationale Umsetzung mit messbarem Erfolg</w:t>
      </w:r>
    </w:p>
    <w:p>
      <w:r>
        <w:rPr>
          <w:i/>
          <w:color w:val="666666"/>
          <w:sz w:val="18"/>
        </w:rPr>
        <w:t>Montes D et al.  ·  Rev Esp Salud Publica  ·  21.10.2026  ·  PMID 42904533</w:t>
      </w:r>
    </w:p>
    <w:p>
      <w:r>
        <w:t>Analyse der Umsetzung des WHO-Aktionsplans zur Adipositasbekämpfung in Spanien mit Fokus auf Governance, Koordination und Messbarkeit von Outcomes.</w:t>
      </w:r>
    </w:p>
    <w:p>
      <w:r>
        <w:rPr>
          <w:b/>
        </w:rPr>
        <w:t xml:space="preserve">Ergebnis: </w:t>
      </w:r>
      <w:r>
        <w:t>Der ALADINO-Studie zufolge sank der Anteil übergewichtiger Kinder (6–9 Jahre) zwischen 2019 und 2023 um 4,5 Prozentpunkte. Die Gesamtstrategie Spaniens mit Multisektoral-Governance und jährlichen Ministerkonferenzen ermöglichte es, internationale Ziele messbarer zu operationalisieren, deckte aber weiterhin erhebliche sozioökonomische Ungleichgewichte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vergleichbarer Wohlfahrtsstaat und Sozialversicherungssystem</w:t>
      </w:r>
    </w:p>
    <w:p>
      <w:r>
        <w:rPr>
          <w:color w:val="5A7D3A"/>
          <w:sz w:val="18"/>
        </w:rPr>
        <w:t>https://pubmed.ncbi.nlm.nih.gov/42904533/</w:t>
      </w:r>
    </w:p>
    <w:p>
      <w:pPr>
        <w:pStyle w:val="Heading2"/>
      </w:pPr>
      <w:r>
        <w:t>Bewegungsverordnung in der Primärversorgung: Spaniens Strukturansatz für Kinder</w:t>
      </w:r>
    </w:p>
    <w:p>
      <w:r>
        <w:rPr>
          <w:i/>
          <w:color w:val="666666"/>
          <w:sz w:val="18"/>
        </w:rPr>
        <w:t>Giménez Alba IM et al.  ·  Rev Esp Salud Publica  ·  23.09.2026  ·  PMID 42904447</w:t>
      </w:r>
    </w:p>
    <w:p>
      <w:r>
        <w:t>Systematische Analyse von Spaniens Aktivitätsverschreibungs- und Gesundheitsvermittlungsprogrammen in der Primärversorgung mit Fokus auf Umsetzungsbarrieren und Chancen.</w:t>
      </w:r>
    </w:p>
    <w:p>
      <w:r>
        <w:rPr>
          <w:b/>
        </w:rPr>
        <w:t xml:space="preserve">Ergebnis: </w:t>
      </w:r>
      <w:r>
        <w:t>16 der 17 autonomen Gemeinschaften führen Ernährungsberatung durch; 13 verschreiben oder empfehlen Aktivität. Nur 35,3 % haben Zugang zu Ernährungsfachkräften (davon nur 3 in der Primärversorgung). Trotz politischer Fortschritte bleibt die Umsetzung fragmentiert, besonders bei der Sicherstellung equitativer Ressourcenverteilung.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DACH-Vergleichbarkeit bei tertiärer Prävention</w:t>
      </w:r>
    </w:p>
    <w:p>
      <w:r>
        <w:rPr>
          <w:color w:val="5A7D3A"/>
          <w:sz w:val="18"/>
        </w:rPr>
        <w:t>https://pubmed.ncbi.nlm.nih.gov/42904447/</w:t>
      </w:r>
    </w:p>
    <w:p>
      <w:pPr>
        <w:pStyle w:val="Heading2"/>
      </w:pPr>
      <w:r>
        <w:t>Kindervorsorge im Vergleich: Heterogene Standards bei Adipositaserfassung</w:t>
      </w:r>
    </w:p>
    <w:p>
      <w:r>
        <w:rPr>
          <w:i/>
          <w:color w:val="666666"/>
          <w:sz w:val="18"/>
        </w:rPr>
        <w:t>Cabrera-León A et al.  ·  Rev Esp Salud Publica  ·  25.09.2026  ·  PMID 42904443</w:t>
      </w:r>
    </w:p>
    <w:p>
      <w:r>
        <w:t>Querschnittserhebung zu Umsetzung und Dokumentation von Adipositásindikatoren in 17 spanischen Kindervorsorgeprogrammen der Primärversorgung.</w:t>
      </w:r>
    </w:p>
    <w:p>
      <w:r>
        <w:rPr>
          <w:b/>
        </w:rPr>
        <w:t xml:space="preserve">Ergebnis: </w:t>
      </w:r>
      <w:r>
        <w:t>94,1 % der Gemeinschaften haben ein Programm; alle erfassen Gewicht und Länge elektronisch. Blutdruck wird nur in 58,8 %, Taillenumfang in 41,2 % gemessen. Sozioökonomische Determinanten dokumentieren nur 41,2 %, ein formales Protokoll nutzen nur 11,8 %. Es gibt kein gemeinsames Mindestdatensatz-Standard.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zeigt Datenqualitätsgap europäischer Gesundheitssysteme</w:t>
      </w:r>
    </w:p>
    <w:p>
      <w:r>
        <w:rPr>
          <w:color w:val="5A7D3A"/>
          <w:sz w:val="18"/>
        </w:rPr>
        <w:t>https://pubmed.ncbi.nlm.nih.gov/42904443/</w:t>
      </w:r>
    </w:p>
    <w:p>
      <w:pPr>
        <w:pStyle w:val="Heading2"/>
      </w:pPr>
      <w:r>
        <w:t>ALADINO 2023: Kinderadipositáts-Surveillance mit Repräsentativität</w:t>
      </w:r>
    </w:p>
    <w:p>
      <w:r>
        <w:rPr>
          <w:i/>
          <w:color w:val="666666"/>
          <w:sz w:val="18"/>
        </w:rPr>
        <w:t>Recuero Carretero C et al.  ·  Rev Esp Salud Publica  ·  19.10.2026  ·  PMID 42904441</w:t>
      </w:r>
    </w:p>
    <w:p>
      <w:r>
        <w:t>Methodische Beschreibung einer nationalen spanischen Querschnittstudie zur Adipositásprävalenz bei 6–9-jährigen Schulkindern (n=12.678) im Rahmen der WHO-COSI-Initiative.</w:t>
      </w:r>
    </w:p>
    <w:p>
      <w:r>
        <w:rPr>
          <w:b/>
        </w:rPr>
        <w:t xml:space="preserve">Ergebnis: </w:t>
      </w:r>
      <w:r>
        <w:t>Erfassung anthropometrischer Daten und umfangreicher Lebensstil- sowie Soziodemografien bei direkter Messung in 296 Schulen. Die Studie bildet nationale und internationale Vergleichbarkeit ab und generiert hochwertige Daten mit Repräsentativität für die Ebenen national und international.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Referenzmethode für europäische Surveillance</w:t>
      </w:r>
    </w:p>
    <w:p>
      <w:r>
        <w:rPr>
          <w:color w:val="5A7D3A"/>
          <w:sz w:val="18"/>
        </w:rPr>
        <w:t>https://pubmed.ncbi.nlm.nih.gov/42904441/</w:t>
      </w:r>
    </w:p>
    <w:p>
      <w:pPr>
        <w:pStyle w:val="Heading2"/>
      </w:pPr>
      <w:r>
        <w:t>Multipla Therapie bei HFpEF: GLP-1 bringt mehr Gewichtsverlust als Kaloriendefizit allein</w:t>
      </w:r>
    </w:p>
    <w:p>
      <w:r>
        <w:rPr>
          <w:i/>
          <w:color w:val="666666"/>
          <w:sz w:val="18"/>
        </w:rPr>
        <w:t>Prokopidis K et al.  ·  Curr Heart Fail Rep  ·  08.10.2026  ·  PMID 42848257</w:t>
      </w:r>
    </w:p>
    <w:p>
      <w:r>
        <w:t>Narrative Übersicht zu Lebensstil-, pharmakologischen und chirurgischen Interventionen zur Verbesserung von Muskelkraft, Körperkomposition und Funktionsfähigkeit bei HFpEF mit Sarkopenie und/oder Adipositas.</w:t>
      </w:r>
    </w:p>
    <w:p>
      <w:r>
        <w:rPr>
          <w:b/>
        </w:rPr>
        <w:t xml:space="preserve">Ergebnis: </w:t>
      </w:r>
      <w:r>
        <w:t>Konkurrentes Ausdauer- und Krafttraining verbessert aerobe Kapazität, Funktionsleistung und Lebensqualität. GLP-1-Arzneimittel führen zu größerem Gewichtsverlust und funktionellen Verbesserungen als SGLT2i allein. Kombination aus Widerstandstraining und adäquater Proteinzufuhr konserviert Muskelmasse während Gewichtsverlust besser als Kalorienrestriktion.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Deutschsprachige Autoren, UK, Skandinavien – Outcomes jenseits der Waage</w:t>
      </w:r>
    </w:p>
    <w:p>
      <w:r>
        <w:rPr>
          <w:color w:val="5A7D3A"/>
          <w:sz w:val="18"/>
        </w:rPr>
        <w:t>https://pubmed.ncbi.nlm.nih.gov/42848257/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2026-10-23T06:00:00Z</dcterms:created>
  <dcterms:modified xsi:type="dcterms:W3CDTF">2026-10-23T06:00:00Z</dcterms:modified>
  <cp:category/>
</cp:coreProperties>
</file>