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23.10.2026  |  369 Studien  |  adipositas.m-vf.de</w:t>
      </w:r>
    </w:p>
    <w:p>
      <w:pPr>
        <w:pStyle w:val="Heading1"/>
      </w:pPr>
      <w:r>
        <w:t>Aufgenommen am 23.10.2026</w:t>
      </w:r>
    </w:p>
    <w:p>
      <w:pPr>
        <w:pStyle w:val="Heading2"/>
      </w:pPr>
      <w:r>
        <w:t>Schulische Adipositasprävention in China: Verbesserte nur 26,6 % der übergewichtigen Kinder</w:t>
      </w:r>
    </w:p>
    <w:p>
      <w:r>
        <w:rPr>
          <w:i/>
          <w:color w:val="666666"/>
          <w:sz w:val="18"/>
        </w:rPr>
        <w:t>Chen JF et al.  ·  Zhonghua Liu Xing Bing Xue Za Zhi  ·  10.10.2026  ·  PMID 42907187</w:t>
      </w:r>
    </w:p>
    <w:p>
      <w:r>
        <w:t>Longitudinale Kohortenstudie bei 91.538 Grundschülern zum Verlauf der Übergewichtsquote unter bestehenden Präventionsmaßnahmen in städtischen und ländlichen Schulen (2022–2024).</w:t>
      </w:r>
    </w:p>
    <w:p>
      <w:r>
        <w:rPr>
          <w:b/>
        </w:rPr>
        <w:t xml:space="preserve">Ergebnis: </w:t>
      </w:r>
      <w:r>
        <w:t>Übergewichtsquote und Adipositasquote 2024: 14,59 % bzw. 14,34 % (beide gestiegen gegenüber 2022, p&lt;0,001). Von den übergewichtigen Kindern wurden nur 26,56 % normal gewichtig, nur 2,66 % der adipösen. Neue Fälle: 8,62 % Übergewicht, 1,08 % Adipositas. Landkinder hatten 1,25-faches Übergewicht- und 1,34-faches Adipositasrisiko vs. Stadt.</w:t>
      </w:r>
    </w:p>
    <w:p>
      <w:r>
        <w:rPr>
          <w:b/>
          <w:sz w:val="19"/>
        </w:rPr>
        <w:t xml:space="preserve">Übertragbarkeit: </w:t>
      </w:r>
      <w:r>
        <w:rPr>
          <w:sz w:val="19"/>
        </w:rPr>
        <w:t>China – zeigt, dass bestehende Schulprogramme unwirksam sind</w:t>
      </w:r>
    </w:p>
    <w:p>
      <w:r>
        <w:rPr>
          <w:color w:val="5A7D3A"/>
          <w:sz w:val="18"/>
        </w:rPr>
        <w:t>https://pubmed.ncbi.nlm.nih.gov/42907187/</w:t>
      </w:r>
    </w:p>
    <w:p>
      <w:pPr>
        <w:pStyle w:val="Heading2"/>
      </w:pPr>
      <w:r>
        <w:t>Spaniens Adipositäsprävention: Nationale Umsetzung mit messbarem Erfolg</w:t>
      </w:r>
    </w:p>
    <w:p>
      <w:r>
        <w:rPr>
          <w:i/>
          <w:color w:val="666666"/>
          <w:sz w:val="18"/>
        </w:rPr>
        <w:t>Montes D et al.  ·  Rev Esp Salud Publica  ·  21.10.2026  ·  PMID 42904533</w:t>
      </w:r>
    </w:p>
    <w:p>
      <w:r>
        <w:t>Analyse der Umsetzung des WHO-Aktionsplans zur Adipositasbekämpfung in Spanien mit Fokus auf Governance, Koordination und Messbarkeit von Outcomes.</w:t>
      </w:r>
    </w:p>
    <w:p>
      <w:r>
        <w:rPr>
          <w:b/>
        </w:rPr>
        <w:t xml:space="preserve">Ergebnis: </w:t>
      </w:r>
      <w:r>
        <w:t>Der ALADINO-Studie zufolge sank der Anteil übergewichtiger Kinder (6–9 Jahre) zwischen 2019 und 2023 um 4,5 Prozentpunkte. Die Gesamtstrategie Spaniens mit Multisektoral-Governance und jährlichen Ministerkonferenzen ermöglichte es, internationale Ziele messbarer zu operationalisieren, deckte aber weiterhin erhebliche sozioökonomische Ungleichgewichte auf.</w:t>
      </w:r>
    </w:p>
    <w:p>
      <w:r>
        <w:rPr>
          <w:b/>
          <w:sz w:val="19"/>
        </w:rPr>
        <w:t xml:space="preserve">Übertragbarkeit: </w:t>
      </w:r>
      <w:r>
        <w:rPr>
          <w:sz w:val="19"/>
        </w:rPr>
        <w:t>Spanien, vergleichbarer Wohlfahrtsstaat und Sozialversicherungssystem</w:t>
      </w:r>
    </w:p>
    <w:p>
      <w:r>
        <w:rPr>
          <w:color w:val="5A7D3A"/>
          <w:sz w:val="18"/>
        </w:rPr>
        <w:t>https://pubmed.ncbi.nlm.nih.gov/42904533/</w:t>
      </w:r>
    </w:p>
    <w:p>
      <w:pPr>
        <w:pStyle w:val="Heading2"/>
      </w:pPr>
      <w:r>
        <w:t>Bewegungsverordnung in der Primärversorgung: Spaniens Strukturansatz für Kinder</w:t>
      </w:r>
    </w:p>
    <w:p>
      <w:r>
        <w:rPr>
          <w:i/>
          <w:color w:val="666666"/>
          <w:sz w:val="18"/>
        </w:rPr>
        <w:t>Giménez Alba IM et al.  ·  Rev Esp Salud Publica  ·  23.09.2026  ·  PMID 42904447</w:t>
      </w:r>
    </w:p>
    <w:p>
      <w:r>
        <w:t>Systematische Analyse von Spaniens Aktivitätsverschreibungs- und Gesundheitsvermittlungsprogrammen in der Primärversorgung mit Fokus auf Umsetzungsbarrieren und Chancen.</w:t>
      </w:r>
    </w:p>
    <w:p>
      <w:r>
        <w:rPr>
          <w:b/>
        </w:rPr>
        <w:t xml:space="preserve">Ergebnis: </w:t>
      </w:r>
      <w:r>
        <w:t>16 der 17 autonomen Gemeinschaften führen Ernährungsberatung durch; 13 verschreiben oder empfehlen Aktivität. Nur 35,3 % haben Zugang zu Ernährungsfachkräften (davon nur 3 in der Primärversorgung). Trotz politischer Fortschritte bleibt die Umsetzung fragmentiert, besonders bei der Sicherstellung equitativer Ressourcenverteilung.</w:t>
      </w:r>
    </w:p>
    <w:p>
      <w:r>
        <w:rPr>
          <w:b/>
          <w:sz w:val="19"/>
        </w:rPr>
        <w:t xml:space="preserve">Übertragbarkeit: </w:t>
      </w:r>
      <w:r>
        <w:rPr>
          <w:sz w:val="19"/>
        </w:rPr>
        <w:t>Spanien, DACH-Vergleichbarkeit bei tertiärer Prävention</w:t>
      </w:r>
    </w:p>
    <w:p>
      <w:r>
        <w:rPr>
          <w:color w:val="5A7D3A"/>
          <w:sz w:val="18"/>
        </w:rPr>
        <w:t>https://pubmed.ncbi.nlm.nih.gov/42904447/</w:t>
      </w:r>
    </w:p>
    <w:p>
      <w:pPr>
        <w:pStyle w:val="Heading2"/>
      </w:pPr>
      <w:r>
        <w:t>Kindervorsorge im Vergleich: Heterogene Standards bei Adipositaserfassung</w:t>
      </w:r>
    </w:p>
    <w:p>
      <w:r>
        <w:rPr>
          <w:i/>
          <w:color w:val="666666"/>
          <w:sz w:val="18"/>
        </w:rPr>
        <w:t>Cabrera-León A et al.  ·  Rev Esp Salud Publica  ·  25.09.2026  ·  PMID 42904443</w:t>
      </w:r>
    </w:p>
    <w:p>
      <w:r>
        <w:t>Querschnittserhebung zu Umsetzung und Dokumentation von Adipositásindikatoren in 17 spanischen Kindervorsorgeprogrammen der Primärversorgung.</w:t>
      </w:r>
    </w:p>
    <w:p>
      <w:r>
        <w:rPr>
          <w:b/>
        </w:rPr>
        <w:t xml:space="preserve">Ergebnis: </w:t>
      </w:r>
      <w:r>
        <w:t>94,1 % der Gemeinschaften haben ein Programm; alle erfassen Gewicht und Länge elektronisch. Blutdruck wird nur in 58,8 %, Taillenumfang in 41,2 % gemessen. Sozioökonomische Determinanten dokumentieren nur 41,2 %, ein formales Protokoll nutzen nur 11,8 %. Es gibt kein gemeinsames Mindestdatensatz-Standard.</w:t>
      </w:r>
    </w:p>
    <w:p>
      <w:r>
        <w:rPr>
          <w:b/>
          <w:sz w:val="19"/>
        </w:rPr>
        <w:t xml:space="preserve">Übertragbarkeit: </w:t>
      </w:r>
      <w:r>
        <w:rPr>
          <w:sz w:val="19"/>
        </w:rPr>
        <w:t>Spanien, zeigt Datenqualitätsgap europäischer Gesundheitssysteme</w:t>
      </w:r>
    </w:p>
    <w:p>
      <w:r>
        <w:rPr>
          <w:color w:val="5A7D3A"/>
          <w:sz w:val="18"/>
        </w:rPr>
        <w:t>https://pubmed.ncbi.nlm.nih.gov/42904443/</w:t>
      </w:r>
    </w:p>
    <w:p>
      <w:pPr>
        <w:pStyle w:val="Heading2"/>
      </w:pPr>
      <w:r>
        <w:t>ALADINO 2023: Kinderadipositáts-Surveillance mit Repräsentativität</w:t>
      </w:r>
    </w:p>
    <w:p>
      <w:r>
        <w:rPr>
          <w:i/>
          <w:color w:val="666666"/>
          <w:sz w:val="18"/>
        </w:rPr>
        <w:t>Recuero Carretero C et al.  ·  Rev Esp Salud Publica  ·  19.10.2026  ·  PMID 42904441</w:t>
      </w:r>
    </w:p>
    <w:p>
      <w:r>
        <w:t>Methodische Beschreibung einer nationalen spanischen Querschnittstudie zur Adipositásprävalenz bei 6–9-jährigen Schulkindern (n=12.678) im Rahmen der WHO-COSI-Initiative.</w:t>
      </w:r>
    </w:p>
    <w:p>
      <w:r>
        <w:rPr>
          <w:b/>
        </w:rPr>
        <w:t xml:space="preserve">Ergebnis: </w:t>
      </w:r>
      <w:r>
        <w:t>Erfassung anthropometrischer Daten und umfangreicher Lebensstil- sowie Soziodemografien bei direkter Messung in 296 Schulen. Die Studie bildet nationale und internationale Vergleichbarkeit ab und generiert hochwertige Daten mit Repräsentativität für die Ebenen national und international.</w:t>
      </w:r>
    </w:p>
    <w:p>
      <w:r>
        <w:rPr>
          <w:b/>
          <w:sz w:val="19"/>
        </w:rPr>
        <w:t xml:space="preserve">Übertragbarkeit: </w:t>
      </w:r>
      <w:r>
        <w:rPr>
          <w:sz w:val="19"/>
        </w:rPr>
        <w:t>Spanien, Referenzmethode für europäische Surveillance</w:t>
      </w:r>
    </w:p>
    <w:p>
      <w:r>
        <w:rPr>
          <w:color w:val="5A7D3A"/>
          <w:sz w:val="18"/>
        </w:rPr>
        <w:t>https://pubmed.ncbi.nlm.nih.gov/42904441/</w:t>
      </w:r>
    </w:p>
    <w:p>
      <w:pPr>
        <w:pStyle w:val="Heading2"/>
      </w:pPr>
      <w:r>
        <w:t>Multipla Therapie bei HFpEF: GLP-1 bringt mehr Gewichtsverlust als Kaloriendefizit allein</w:t>
      </w:r>
    </w:p>
    <w:p>
      <w:r>
        <w:rPr>
          <w:i/>
          <w:color w:val="666666"/>
          <w:sz w:val="18"/>
        </w:rPr>
        <w:t>Prokopidis K et al.  ·  Curr Heart Fail Rep  ·  08.10.2026  ·  PMID 42848257</w:t>
      </w:r>
    </w:p>
    <w:p>
      <w:r>
        <w:t>Narrative Übersicht zu Lebensstil-, pharmakologischen und chirurgischen Interventionen zur Verbesserung von Muskelkraft, Körperkomposition und Funktionsfähigkeit bei HFpEF mit Sarkopenie und/oder Adipositas.</w:t>
      </w:r>
    </w:p>
    <w:p>
      <w:r>
        <w:rPr>
          <w:b/>
        </w:rPr>
        <w:t xml:space="preserve">Ergebnis: </w:t>
      </w:r>
      <w:r>
        <w:t>Konkurrentes Ausdauer- und Krafttraining verbessert aerobe Kapazität, Funktionsleistung und Lebensqualität. GLP-1-Arzneimittel führen zu größerem Gewichtsverlust und funktionellen Verbesserungen als SGLT2i allein. Kombination aus Widerstandstraining und adäquater Proteinzufuhr konserviert Muskelmasse während Gewichtsverlust besser als Kalorienrestriktion.</w:t>
      </w:r>
    </w:p>
    <w:p>
      <w:r>
        <w:rPr>
          <w:b/>
          <w:sz w:val="19"/>
        </w:rPr>
        <w:t xml:space="preserve">Übertragbarkeit: </w:t>
      </w:r>
      <w:r>
        <w:rPr>
          <w:sz w:val="19"/>
        </w:rPr>
        <w:t>Deutschsprachige Autoren, UK, Skandinavien – Outcomes jenseits der Waage</w:t>
      </w:r>
    </w:p>
    <w:p>
      <w:r>
        <w:rPr>
          <w:color w:val="5A7D3A"/>
          <w:sz w:val="18"/>
        </w:rPr>
        <w:t>https://pubmed.ncbi.nlm.nih.gov/42848257/</w:t>
      </w:r>
    </w:p>
    <w:p>
      <w:pPr>
        <w:pStyle w:val="Heading1"/>
      </w:pPr>
      <w:r>
        <w:t>Aufgenommen am 22.10.2026</w:t>
      </w:r>
    </w:p>
    <w:p>
      <w:pPr>
        <w:pStyle w:val="Heading2"/>
      </w:pPr>
      <w:r>
        <w:t>PCOS und Metabolisches Syndrom: Prävalenz 81,4% statt 30% bei Kontrollen, LAP-Score sensitivste Marke</w:t>
      </w:r>
    </w:p>
    <w:p>
      <w:r>
        <w:rPr>
          <w:i/>
          <w:color w:val="666666"/>
          <w:sz w:val="18"/>
        </w:rPr>
        <w:t>Baidya S et al.  ·  BMC Womens Health  ·  25.07.2026  ·  PMID 42902247</w:t>
      </w:r>
    </w:p>
    <w:p>
      <w:r>
        <w:t>Querschnittstudie 70 PCOS- und 60 Kontrollpatientinnen zur Bestimmung atherogenisierender Lipidindizes und Metabolisches-Syndrom-Prävalenz mittels Labor- und anthropometrischen Messungen.</w:t>
      </w:r>
    </w:p>
    <w:p>
      <w:r>
        <w:rPr>
          <w:b/>
        </w:rPr>
        <w:t xml:space="preserve">Ergebnis: </w:t>
      </w:r>
      <w:r>
        <w:t>PCOS-Gruppe versus Kontrollen: höhere atherogenisierende Lipidindizes (CRI-I, CRI-II, AIP, AC, LCI, LAP). Metabolisches-Syndrom-Prävalenz PCOS 81,4% (n=57) versus Kontrollen 30% (n=18). LAP-Score effizientester Indikator für Metabolisches Syndrom bei PCOS mit AUC 0,829 (p&lt;0,001), Sensitivität 80%, Spezifität 94,5%.</w:t>
      </w:r>
    </w:p>
    <w:p>
      <w:r>
        <w:rPr>
          <w:b/>
          <w:sz w:val="19"/>
        </w:rPr>
        <w:t xml:space="preserve">Übertragbarkeit: </w:t>
      </w:r>
      <w:r>
        <w:rPr>
          <w:sz w:val="19"/>
        </w:rPr>
        <w:t>Nepal, aber PCOS-Adipositas-Metabolismus weltweit vergleichbar; LAP-Score als Screening-Tool auf DACH-Ebene prüfenswert.</w:t>
      </w:r>
    </w:p>
    <w:p>
      <w:r>
        <w:rPr>
          <w:color w:val="5A7D3A"/>
          <w:sz w:val="18"/>
        </w:rPr>
        <w:t>https://pubmed.ncbi.nlm.nih.gov/42902247/</w:t>
      </w:r>
    </w:p>
    <w:p>
      <w:pPr>
        <w:pStyle w:val="Heading2"/>
      </w:pPr>
      <w:r>
        <w:t>Viszerale Adipositas erhöht Kardiometabolisches Risiko auch bei Normalgewicht</w:t>
      </w:r>
    </w:p>
    <w:p>
      <w:r>
        <w:rPr>
          <w:i/>
          <w:color w:val="666666"/>
          <w:sz w:val="18"/>
        </w:rPr>
        <w:t>Cheng Y et al.  ·  BMC Cardiovasc Disord  ·  24.07.2026  ·  PMID 42902148</w:t>
      </w:r>
    </w:p>
    <w:p>
      <w:r>
        <w:t>Longitudinale Kohortenstudie mit 5.606 Erwachsenen (Normalgewicht, BMI 18–24) aus Gesundheitschecks in China; Follow-up 1,98 Jahre auf Kardiometabolische Ereignisse stratifiziert nach viszeraler Fettverteilung.</w:t>
      </w:r>
    </w:p>
    <w:p>
      <w:r>
        <w:rPr>
          <w:b/>
        </w:rPr>
        <w:t xml:space="preserve">Ergebnis: </w:t>
      </w:r>
      <w:r>
        <w:t>Normalgewicht mit zentraler Adipositas (viszerale Fettansammlung) zeigte erhöhtes Risiko für kardiometabolische Störungen: Hazard Ratio 1,39 (95%-KI 1,13–1,71) gegenüber Normalgewicht ohne zentrale Adipositas. Ähnliche Risikoerhöhungen für Hypertonie, Diabetes und Hyperlipidämie. Abdominalfettverteilung ist auch bei normaler BMI ein Risikofaktor.</w:t>
      </w:r>
    </w:p>
    <w:p>
      <w:r>
        <w:rPr>
          <w:b/>
          <w:sz w:val="19"/>
        </w:rPr>
        <w:t xml:space="preserve">Übertragbarkeit: </w:t>
      </w:r>
      <w:r>
        <w:rPr>
          <w:sz w:val="19"/>
        </w:rPr>
        <w:t>China, ambulante Routineuntersuchungen; gilt für Gesundheitssysteme mit Prävention durch Leistungserbringer wie Deutschland.</w:t>
      </w:r>
    </w:p>
    <w:p>
      <w:r>
        <w:rPr>
          <w:color w:val="5A7D3A"/>
          <w:sz w:val="18"/>
        </w:rPr>
        <w:t>https://pubmed.ncbi.nlm.nih.gov/42902148/</w:t>
      </w:r>
    </w:p>
    <w:p>
      <w:pPr>
        <w:pStyle w:val="Heading2"/>
      </w:pPr>
      <w:r>
        <w:t>GLP-1 und plastische Chirurgie: Perioperatives Timing und Muskelverlust erfordern multidisziplinäres Protokoll</w:t>
      </w:r>
    </w:p>
    <w:p>
      <w:r>
        <w:rPr>
          <w:i/>
          <w:color w:val="666666"/>
          <w:sz w:val="18"/>
        </w:rPr>
        <w:t>Chaturvedi R et al.  ·  Front Endocrinol (Lausanne)  ·  05.10.2026  ·  PMID 42898660</w:t>
      </w:r>
    </w:p>
    <w:p>
      <w:r>
        <w:t>Narrative Übersicht über GLP-1-Rezeptoragonisten und Dualagonisten im Kontext ästhetisch-plastischer Eingriffe; Fokus auf perioperative Sicherheit, Körperzusammensetzung, Magerkörpermasse-Verlust und Wiederzunahme nach Absetzen.</w:t>
      </w:r>
    </w:p>
    <w:p>
      <w:r>
        <w:rPr>
          <w:b/>
        </w:rPr>
        <w:t xml:space="preserve">Ergebnis: </w:t>
      </w:r>
      <w:r>
        <w:t>GLP-1 RAs führen zu zweistelligen prozentualen Gewichtsverlusten, erweitern chirurgische Operabilität, erzeugen aber neue Hauterschlaffung und Volumenverlust; verzögerte Magenmotorik mit Aspirationsrisiko, Magen-Darm-Nebenwirkungen bei Dosiseskalation, Magerkörpermasse-Verlust und Malnutrition bei supprimiertem Appetit, häufige Wiederzunahme nach Absetzen gefährden chirurgische Haltbarkeit. Empfehlung: multidisziplinärer Algorithmus (Endokrinologe–Chirurg–Anästhesist) zur risikogesteuerten Operationstiming und Ernährungsoptimierung.</w:t>
      </w:r>
    </w:p>
    <w:p>
      <w:r>
        <w:rPr>
          <w:b/>
          <w:sz w:val="19"/>
        </w:rPr>
        <w:t xml:space="preserve">Übertragbarkeit: </w:t>
      </w:r>
      <w:r>
        <w:rPr>
          <w:sz w:val="19"/>
        </w:rPr>
        <w:t>Indien, aber GLP-1-Versorgung in Deutschland nach §34 SGB V ausgeschlossen; Protokoll nur bei privat bezahlten Patienten relevant.</w:t>
      </w:r>
    </w:p>
    <w:p>
      <w:r>
        <w:rPr>
          <w:color w:val="5A7D3A"/>
          <w:sz w:val="18"/>
        </w:rPr>
        <w:t>https://pubmed.ncbi.nlm.nih.gov/42898660/</w:t>
      </w:r>
    </w:p>
    <w:p>
      <w:pPr>
        <w:pStyle w:val="Heading2"/>
      </w:pPr>
      <w:r>
        <w:t>Phytodiab bei Typ-2-Diabetes und Metabolischem Syndrom: Gewicht und HbA1c sanken über 12 Wochen</w:t>
      </w:r>
    </w:p>
    <w:p>
      <w:r>
        <w:rPr>
          <w:i/>
          <w:color w:val="666666"/>
          <w:sz w:val="18"/>
        </w:rPr>
        <w:t>Belcaro G et al.  ·  Panminerva Med  ·  Sept. 2026  ·  PMID 42895045</w:t>
      </w:r>
    </w:p>
    <w:p>
      <w:r>
        <w:t>12-Wochen-Beobachtungsregistry bei 60 Erwachsenen mit leicht-mäßigem Typ-2-Diabetes, Übergewicht, ohne Komplikationen und ohne Pharmakotherapie; Vergleich Phytodiab-Extrakt (n=30) plus Lebensstilmaßnahmen versus Lebensstilmaßnahmen allein (n=30).</w:t>
      </w:r>
    </w:p>
    <w:p>
      <w:r>
        <w:rPr>
          <w:b/>
        </w:rPr>
        <w:t xml:space="preserve">Ergebnis: </w:t>
      </w:r>
      <w:r>
        <w:t>Phytodiab plus Lebensstilmaßnahmen gegenüber alleinigen Maßnahmen (p&lt;0,05): Gewichtsreduktion, Fettmassereduktion, Nüchternglukose, HbA1c und oxidativer Stress alle signifikant reduziert. Hohe Compliance (96%), keine Toleranzprobleme, Routinelaborparameter normal. Vorläufige Befunde für weitere kontrollierte Studien in größeren Populationen.</w:t>
      </w:r>
    </w:p>
    <w:p>
      <w:r>
        <w:rPr>
          <w:b/>
          <w:sz w:val="19"/>
        </w:rPr>
        <w:t xml:space="preserve">Übertragbarkeit: </w:t>
      </w:r>
      <w:r>
        <w:rPr>
          <w:sz w:val="19"/>
        </w:rPr>
        <w:t>Italien, offenes Design; Phytopharmaka-Effekte regional variabel; Übertragbarkeit begrenzt auf deutschsprachige Naturprodukt-regulierung.</w:t>
      </w:r>
    </w:p>
    <w:p>
      <w:r>
        <w:rPr>
          <w:color w:val="5A7D3A"/>
          <w:sz w:val="18"/>
        </w:rPr>
        <w:t>https://pubmed.ncbi.nlm.nih.gov/42895045/</w:t>
      </w:r>
    </w:p>
    <w:p>
      <w:pPr>
        <w:pStyle w:val="Heading2"/>
      </w:pPr>
      <w:r>
        <w:t>Esketamin-Anästhesie bei Adipositaschirurgie: weniger Schmerz, bessere Psyche</w:t>
      </w:r>
    </w:p>
    <w:p>
      <w:r>
        <w:rPr>
          <w:i/>
          <w:color w:val="666666"/>
          <w:sz w:val="18"/>
        </w:rPr>
        <w:t>Huang C et al.  ·  Transl Psychiatry  ·  23.07.2026  ·  PMID 42893989</w:t>
      </w:r>
    </w:p>
    <w:p>
      <w:r>
        <w:t>Randomisierte Doppelblind-Studie (n=84, 88,1% Follow-up nach 3 Monaten) zur Esketamin-basierten opioidfreien Anästhesie versus Remifentanil bei laparoskopischer Sleeve-Gastrektomie, primäre Endpunkte postoperativer Schmerz (24 h) und psychische Gesundheit (3 Monate).</w:t>
      </w:r>
    </w:p>
    <w:p>
      <w:r>
        <w:rPr>
          <w:b/>
        </w:rPr>
        <w:t xml:space="preserve">Ergebnis: </w:t>
      </w:r>
      <w:r>
        <w:t>Esketamin-Gruppe: signifikant niedrigere postoperative Schmerzintensität (p&lt;0,01), reduzierte moderate-schwere Schmerzfälle (p&lt;0,05) in den ersten 24 h. Nach 3 Monaten bessere psychische Gesundheitsergebnisse; Nebenwirkungsrate nicht erhöht. Metaboliten zeigten therapeutische Kinetik. Esketamin verbesserte parallel physische und psychische Erholung nach Adipositaschirurgie.</w:t>
      </w:r>
    </w:p>
    <w:p>
      <w:r>
        <w:rPr>
          <w:b/>
          <w:sz w:val="19"/>
        </w:rPr>
        <w:t xml:space="preserve">Übertragbarkeit: </w:t>
      </w:r>
      <w:r>
        <w:rPr>
          <w:sz w:val="19"/>
        </w:rPr>
        <w:t>China, aber opioidfreie Strategien sind Versorgungsstandard in Europa; Psyche-Outcome-Fokus auf DACH-Ebene relevant.</w:t>
      </w:r>
    </w:p>
    <w:p>
      <w:r>
        <w:rPr>
          <w:color w:val="5A7D3A"/>
          <w:sz w:val="18"/>
        </w:rPr>
        <w:t>https://pubmed.ncbi.nlm.nih.gov/42893989/</w:t>
      </w:r>
    </w:p>
    <w:p>
      <w:pPr>
        <w:pStyle w:val="Heading2"/>
      </w:pPr>
      <w:r>
        <w:t>CagriSema gegen Semaglutid: 6,9 % zusätzlicher Gewichtsverlust, höhere Injektionsreaktionen</w:t>
      </w:r>
    </w:p>
    <w:p>
      <w:r>
        <w:rPr>
          <w:i/>
          <w:color w:val="666666"/>
          <w:sz w:val="18"/>
        </w:rPr>
        <w:t>Rasool ZK et al.  ·  Front Endocrinol (Lausanne)  ·  02.10.2026  ·  PMID 42890523</w:t>
      </w:r>
    </w:p>
    <w:p>
      <w:r>
        <w:t>Systematische Übersicht und Metaanalyse von 5 RCTs (n=4.746) zur Doppelwirkstoff-Fixkombination CagriSema (Cagrilintid+Semaglutid) versus Semaglutid 2,4 mg Monotherapie bei Übergewicht/Adipositas mit und ohne Typ-2-Diabetes.</w:t>
      </w:r>
    </w:p>
    <w:p>
      <w:r>
        <w:rPr>
          <w:b/>
        </w:rPr>
        <w:t xml:space="preserve">Ergebnis: </w:t>
      </w:r>
      <w:r>
        <w:t>CagriSema versus Semaglutid 2,4 mg: mittlere Differenz Gewichtsverlust -6,89 Prozentpunkte (95%-KI -8,70 bis -5,06), absolute Reduktion -7,16 kg (95%-KI -9,15 bis -5,17), BMI-Reduktion -2,41 kg/m² (95%-KI -2,83 bis -1,99). Verdoppelte Wahrscheinlichkeit 20%-Gewichtsverlust (RR 2,10). Injektionsreaktionen 3,14× häufiger (95%-KI 1,42–6,96). Gastrointestinale Nebenwirkungen nicht signifikant erhöht. Kein zusätzlicher glykämischer Nutzen.</w:t>
      </w:r>
    </w:p>
    <w:p>
      <w:r>
        <w:rPr>
          <w:b/>
          <w:sz w:val="19"/>
        </w:rPr>
        <w:t xml:space="preserve">Übertragbarkeit: </w:t>
      </w:r>
      <w:r>
        <w:rPr>
          <w:sz w:val="19"/>
        </w:rPr>
        <w:t>USA und Internationales; Erstattung in Deutschland für GLP-1 RA ausgeschlossen nach §34 SGB V, Kombinationspräparate ebenfalls nicht erstattet.</w:t>
      </w:r>
    </w:p>
    <w:p>
      <w:r>
        <w:rPr>
          <w:color w:val="5A7D3A"/>
          <w:sz w:val="18"/>
        </w:rPr>
        <w:t>https://pubmed.ncbi.nlm.nih.gov/42890523/</w:t>
      </w:r>
    </w:p>
    <w:p>
      <w:pPr>
        <w:pStyle w:val="Heading2"/>
      </w:pPr>
      <w:r>
        <w:t>Adipositas senkt Beschäftigungsquote: Mendelsche Randomisierung zeigt kausalen Effekt</w:t>
      </w:r>
    </w:p>
    <w:p>
      <w:r>
        <w:rPr>
          <w:i/>
          <w:color w:val="666666"/>
          <w:sz w:val="18"/>
        </w:rPr>
        <w:t>Katz A  ·  Soc Sci Med  ·  04.09.2026  ·  PMID 42828830</w:t>
      </w:r>
    </w:p>
    <w:p>
      <w:r>
        <w:t>Mendelsche Randomisierung mit genetischem Risikoscore für BMI in UK-Biobank-Daten zur Analyse des kausalen Effekts von Adipositas auf Beschäftigungschancen, differenziert nach Geschlecht und sozioökonomischen Faktoren.</w:t>
      </w:r>
    </w:p>
    <w:p>
      <w:r>
        <w:rPr>
          <w:b/>
        </w:rPr>
        <w:t xml:space="preserve">Ergebnis: </w:t>
      </w:r>
      <w:r>
        <w:t>Adipositas hatte einen signifikant negativen kausalen Effekt auf Beschäftigung über alle Analysemethoden hinweg. Frauen zeigten in linearen Modellen stärkere Beschäftigungseinbußen, während Person-Centered-Treatment-Effects-Analysen ein gegensätzliches Muster offenbarten. Die Befunde unterstreichen die wirtschaftliche Krankheitslast von Adipositas jenseits der medizinischen Dimension.</w:t>
      </w:r>
    </w:p>
    <w:p>
      <w:r>
        <w:rPr>
          <w:b/>
          <w:sz w:val="19"/>
        </w:rPr>
        <w:t xml:space="preserve">Übertragbarkeit: </w:t>
      </w:r>
      <w:r>
        <w:rPr>
          <w:sz w:val="19"/>
        </w:rPr>
        <w:t>UK Biobank mit genetischen und Erwerbsdaten; Übertragbarkeit auf DACH-Länder hoch bei vergleichbarer Arbeitsmärkte.</w:t>
      </w:r>
    </w:p>
    <w:p>
      <w:r>
        <w:rPr>
          <w:color w:val="5A7D3A"/>
          <w:sz w:val="18"/>
        </w:rPr>
        <w:t>https://pubmed.ncbi.nlm.nih.gov/42828830/</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