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15.10.2026  |  7 Studien  |  adipositas.m-vf.de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Antipsychotika: Blutzucker und Gewicht stiegen in ersten 90 Tagen deutlich an</w:t>
      </w:r>
    </w:p>
    <w:p>
      <w:r>
        <w:rPr>
          <w:i/>
          <w:color w:val="666666"/>
          <w:sz w:val="18"/>
        </w:rPr>
        <w:t>Bazo-Alvarez JC et al.  ·  Lancet Psychiatry  ·  Nov. 2026  ·  PMID 42874604</w:t>
      </w:r>
    </w:p>
    <w:p>
      <w:r>
        <w:t>Englische Registerdaten zu 53.558 Patienten mit schwerer psychischer Erkrankung zeigten, wie sich HbA1c und Körpergewicht nach Beginn einer Antipsychotika-Behandlung veränderten.</w:t>
      </w:r>
    </w:p>
    <w:p>
      <w:r>
        <w:rPr>
          <w:b/>
        </w:rPr>
        <w:t xml:space="preserve">Ergebnis: </w:t>
      </w:r>
      <w:r>
        <w:t>In den ersten 90 Tagen nach Behandlungsbeginn stiegen HbA1c um 0,12 mmol/mol pro Woche und Gewicht um 0,21 kg pro Woche an – deutlich rascher als in der Vorbehandlungsphase (HbA1c 0,01; Gewicht 0,02 kg/Woche). Nach Tag 91 normalisierten sich die Raten wieder. Bei Patienten mit Prädiabetes entwickelten 13,7 % innerhalb von 2 Jahren Typ-2-Diabetes. Olanzapin zeigte die stärksten Effekte, Frauen waren stärker betroffen als Männer.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elektronische Gesundheitsakten; vergleichbar mit strukturierten deutschen Dokumentationssystemen</w:t>
      </w:r>
    </w:p>
    <w:p>
      <w:r>
        <w:rPr>
          <w:color w:val="5A7D3A"/>
          <w:sz w:val="18"/>
        </w:rPr>
        <w:t>https://pubmed.ncbi.nlm.nih.gov/42874604/</w:t>
      </w:r>
    </w:p>
    <w:p>
      <w:pPr>
        <w:pStyle w:val="Heading2"/>
      </w:pPr>
      <w:r>
        <w:t>Telemedizin für PMOS: Gewicht −4,9 %, HOMA-IR −14 %, unabhängig von GLP-1</w:t>
      </w:r>
    </w:p>
    <w:p>
      <w:r>
        <w:rPr>
          <w:i/>
          <w:color w:val="666666"/>
          <w:sz w:val="18"/>
        </w:rPr>
        <w:t>Huddleston HG et al.  ·  Endocrinol Diabetes Metab  ·  Nov. 2026  ·  PMID 42872607</w:t>
      </w:r>
    </w:p>
    <w:p>
      <w:r>
        <w:t>US-amerikanische Realweltanalyse von 919 Frauen mit BMI ≥25, davon 557 mit PMOS (ehemals PCOS), in Telehealth-Versorgung mit Arzt und Diätassistentin über mindestens 6 Monate Nachverfolgung.</w:t>
      </w:r>
    </w:p>
    <w:p>
      <w:r>
        <w:rPr>
          <w:b/>
        </w:rPr>
        <w:t xml:space="preserve">Ergebnis: </w:t>
      </w:r>
      <w:r>
        <w:t>Signifikante Verbesserungen über die gesamte Kohorte: Gewicht −4,9 %, HOMA-IR −14,0 %, Nüchterninsulin −15,6 %, Nüchternglukose −13,0 %, HbA1c −6,2 %, ALT −21,2 %, AST −25,5 %, Gesamtcholesterin −8,0 %. PCOS-Status war nicht mit unterschiedlichen Verbesserungen assoziiert. GLP-1-Rezeptoragonisten wurden assoziiert mit größerem Gewichtsverlust, aber auch ohne Medikation traten Verbesserungen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elektronische Gesundheitsakten; Ergebnis für Telehealth-Modelle relevant, Arzneimittelverfügbarkeit in Deutschland anders</w:t>
      </w:r>
    </w:p>
    <w:p>
      <w:r>
        <w:rPr>
          <w:color w:val="5A7D3A"/>
          <w:sz w:val="18"/>
        </w:rPr>
        <w:t>https://pubmed.ncbi.nlm.nih.gov/42872607/</w:t>
      </w:r>
    </w:p>
    <w:p>
      <w:pPr>
        <w:pStyle w:val="Heading2"/>
      </w:pPr>
      <w:r>
        <w:t>Türkei: Adipositas verursacht 31 % der Diabetes- und 26 % der Herzkrankheitslast</w:t>
      </w:r>
    </w:p>
    <w:p>
      <w:r>
        <w:rPr>
          <w:i/>
          <w:color w:val="666666"/>
          <w:sz w:val="18"/>
        </w:rPr>
        <w:t>Ersoy Şen B et al.  ·  Front Public Health  ·  29.09.2026  ·  PMID 42871398</w:t>
      </w:r>
    </w:p>
    <w:p>
      <w:r>
        <w:t>Türkische Felderhebung an 22.667 Erwachsenen quantifizierte, wie viel der Krankheitslast bei Diabetes, Hypertonie und Herzkrankheit statistisch auf Adipositas zurückzuführen ist.</w:t>
      </w:r>
    </w:p>
    <w:p>
      <w:r>
        <w:rPr>
          <w:b/>
        </w:rPr>
        <w:t xml:space="preserve">Ergebnis: </w:t>
      </w:r>
      <w:r>
        <w:t>Adipositasprävalenz: 29,9 % (Frauen 35,7 %, Männer 23,9 %). Adipositas war assoziiert mit Diabetes (aOR 2,88, p&lt;0,001), Hypertonie (aOR 2,50) und Herzkrankheit (aOR 2,29). Die populationsattribuierbaren Fraktionen betrugen 31,5 % für Diabetes mellitus, 25,8 % für Hypertonie und 26,1 % für Herzkrankheit. Das Alter modifizierte diese Assoziationen signifikant, nicht aber das Geschlecht.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Bevölkerungsquerschnitt; Zeigt Krankheitslast in Ländern mit ähnlichem Gesundheitssystem</w:t>
      </w:r>
    </w:p>
    <w:p>
      <w:r>
        <w:rPr>
          <w:color w:val="5A7D3A"/>
          <w:sz w:val="18"/>
        </w:rPr>
        <w:t>https://pubmed.ncbi.nlm.nih.gov/42871398/</w:t>
      </w:r>
    </w:p>
    <w:p>
      <w:pPr>
        <w:pStyle w:val="Heading2"/>
      </w:pPr>
      <w:r>
        <w:t>Dynapene Adipositas bei älteren Hypertoniepatienten: 41 % höheres Kognitionsrisiko</w:t>
      </w:r>
    </w:p>
    <w:p>
      <w:r>
        <w:rPr>
          <w:i/>
          <w:color w:val="666666"/>
          <w:sz w:val="18"/>
        </w:rPr>
        <w:t>An P et al.  ·  Front Public Health  ·  29.09.2026  ·  PMID 42871064</w:t>
      </w:r>
    </w:p>
    <w:p>
      <w:r>
        <w:t>Chinesische Querschnittsstudie an 9.568 älteren Hypertoniepatienten untersuchte, ob Adipositas ohne ausreichende Muskelmasse (dynapene Adipositas) mit kognitiver Beeinträchtigung verbunden ist.</w:t>
      </w:r>
    </w:p>
    <w:p>
      <w:r>
        <w:rPr>
          <w:b/>
        </w:rPr>
        <w:t xml:space="preserve">Ergebnis: </w:t>
      </w:r>
      <w:r>
        <w:t>Dynapene Adipositas war mit kognitiver Störung assoziiert (aOR 1,418, 95%-KI 1,263–1,591). Die Assoziation verlief über verringerte körperliche Aktivität (aOR 0,708), die mit niedrigerem Depressions- und Kognitionsrisiko verbunden war. Depressive Störungen selbst erhöhten das Kognitionsrisiko um 31 % (aOR 1,312). Befunde waren über Altersgruppen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klinische Querschnittsdaten; zeigt Pathomechanismus unabhängig vom BMI allein</w:t>
      </w:r>
    </w:p>
    <w:p>
      <w:r>
        <w:rPr>
          <w:color w:val="5A7D3A"/>
          <w:sz w:val="18"/>
        </w:rPr>
        <w:t>https://pubmed.ncbi.nlm.nih.gov/42871064/</w:t>
      </w:r>
    </w:p>
    <w:p>
      <w:pPr>
        <w:pStyle w:val="Heading2"/>
      </w:pPr>
      <w:r>
        <w:t>Ultraprozessierte Lebensmittel: 45 % der Erwachsenenernährung, schwache Assoziationen mit Übergewicht</w:t>
      </w:r>
    </w:p>
    <w:p>
      <w:r>
        <w:rPr>
          <w:i/>
          <w:color w:val="666666"/>
          <w:sz w:val="18"/>
        </w:rPr>
        <w:t>Sällström T et al.  ·  Nutr J  ·  13.10.2026  ·  PMID 42870269</w:t>
      </w:r>
    </w:p>
    <w:p>
      <w:r>
        <w:t>Schwedische Ernährungserhebungen untersuchten den Anteil ultraprozessierter Lebensmittel in der Gesamtenergieaufnahme und dessen Zusammenhang mit Ernährungsqualität und BMI.</w:t>
      </w:r>
    </w:p>
    <w:p>
      <w:r>
        <w:rPr>
          <w:b/>
        </w:rPr>
        <w:t xml:space="preserve">Ergebnis: </w:t>
      </w:r>
      <w:r>
        <w:t>Ultraprozessierte Lebensmittel machten 45 % der Energieaufnahme bei Erwachsenen, 52 % bei Jugendlichen und 46 % bei Kleinkindern aus. Bei Erwachsenen war jede zusätzliche 10-%-Energieeinheit ultraprozessierter Lebensmittel mit 0,61 % höherem BMI verbunden (p=0,036); die Übergewichtsquote war im höchsten vs. niedrigsten Tertil um 16 % erhöht (p=0,018). Bei Jugendlichen und Kleinkindern zeigten sich keine signifikanten BMI-Assoziationen.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nationale Querschnittsdaten; vergleichbares Lebensmittelsystem</w:t>
      </w:r>
    </w:p>
    <w:p>
      <w:r>
        <w:rPr>
          <w:color w:val="5A7D3A"/>
          <w:sz w:val="18"/>
        </w:rPr>
        <w:t>https://pubmed.ncbi.nlm.nih.gov/42870269/</w:t>
      </w:r>
    </w:p>
    <w:p>
      <w:pPr>
        <w:pStyle w:val="Heading2"/>
      </w:pPr>
      <w:r>
        <w:t>Nach Magenbypass: Schilddrüsenhormone mussten erhöht werden, Mikrobiom veränderte sich</w:t>
      </w:r>
    </w:p>
    <w:p>
      <w:r>
        <w:rPr>
          <w:i/>
          <w:color w:val="666666"/>
          <w:sz w:val="18"/>
        </w:rPr>
        <w:t>El-Sehrawy AAMA et al.  ·  BMC Endocr Disord  ·  12.10.2026  ·  PMID 42870254</w:t>
      </w:r>
    </w:p>
    <w:p>
      <w:r>
        <w:t>Ägyptische prospektive Kohortenstudie an 79 hypothyreoten Patienten verfolgten Veränderungen in Schilddrüsenstoffwechsel, Levothyroxin-Anforderungen und Darmmikrobiom nach Roux-en-Y-Bypass oder Sleeve-Gastrektomie über 6 Monate.</w:t>
      </w:r>
    </w:p>
    <w:p>
      <w:r>
        <w:rPr>
          <w:b/>
        </w:rPr>
        <w:t xml:space="preserve">Ergebnis: </w:t>
      </w:r>
      <w:r>
        <w:t>Nach 6 Monaten: BMI sank von 44,5 auf 32,1 kg/m² (RYGB) bzw. 42,9 auf 33,0 (SG; beide p&lt;0,001). Levothyroxin-Anforderungen stiegen signifikant: RYGB von 137,5 auf 158,2 µg/Tag (p=0,018), SG von 133,3 auf 144,8 µg/Tag (p=0,067). FT4-AUC₀₋₆h stieg nach der Operation an (RYGB +330, p=0,003). Shannon-Diversität und Akkermansia muciniphila nahmen zu, besonders bei RYGB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Ägypten, prospektive Klinikdaten; zeigt Dosierungsanpassung als klinische Notwendigkeit</w:t>
      </w:r>
    </w:p>
    <w:p>
      <w:r>
        <w:rPr>
          <w:color w:val="5A7D3A"/>
          <w:sz w:val="18"/>
        </w:rPr>
        <w:t>https://pubmed.ncbi.nlm.nih.gov/42870254/</w:t>
      </w:r>
    </w:p>
    <w:p>
      <w:pPr>
        <w:pStyle w:val="Heading2"/>
      </w:pPr>
      <w:r>
        <w:t>Leistenbruchoperation: Rauchen erhöht Komplikationsrisiko, Adipositas nicht</w:t>
      </w:r>
    </w:p>
    <w:p>
      <w:r>
        <w:rPr>
          <w:i/>
          <w:color w:val="666666"/>
          <w:sz w:val="18"/>
        </w:rPr>
        <w:t>Fredberg J et al.  ·  BJS Open  ·  04.09.2026  ·  PMID 42868085</w:t>
      </w:r>
    </w:p>
    <w:p>
      <w:r>
        <w:t>Dänische Nationalregisterdaten zu 2.391 Patienten mit elektivem Nabelbruchverschluss verfolgten Reoperationen wegen Komplikationen bis zu 4,65 Jahren nach dem Eingriff.</w:t>
      </w:r>
    </w:p>
    <w:p>
      <w:r>
        <w:rPr>
          <w:b/>
        </w:rPr>
        <w:t xml:space="preserve">Ergebnis: </w:t>
      </w:r>
      <w:r>
        <w:t>18,4 % waren Raucher, 34 % obese (BMI &gt;30). Raucher hatten eine 1,68-fach erhöhte Rate für Reoperationen insgesamt (p=0,032) und eine 2,01-fache für Nicht-Rezidiv-Komplikationen (p=0,009). Adipöse Patienten zeigten eine 1,83-fach erhöhte Rate für Nicht-Rezidiv-Komplikationen (p=0,016), aber kein signifikant erhöhtes Rezidivrisiko. Rauchen und Adipositas beeinflußten das reine Rezidivrisiko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komplette nationale Folgedaten; vergleichbares Gesundheitssystem</w:t>
      </w:r>
    </w:p>
    <w:p>
      <w:r>
        <w:rPr>
          <w:color w:val="5A7D3A"/>
          <w:sz w:val="18"/>
        </w:rPr>
        <w:t>https://pubmed.ncbi.nlm.nih.gov/42868085/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