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23.09.2026  |  5 Studien  |  adipositas.m-vf.de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Bariatrische Chirurgie kosteneffektiver als GLP-1-Rezeptoragonisten bei Kniearthrose mit Adipositas</w:t>
      </w:r>
    </w:p>
    <w:p>
      <w:r>
        <w:rPr>
          <w:i/>
          <w:color w:val="666666"/>
          <w:sz w:val="18"/>
        </w:rPr>
        <w:t>Gao Y et al.  ·  BMJ Open  ·  22.09.2026  ·  PMID 42772870</w:t>
      </w:r>
    </w:p>
    <w:p>
      <w:r>
        <w:t>Systematische Übersicht (n=8 Studien) zur Kosteneffektivität von Gewichtsverlustinterventionen bei Kniearthrose und Adipositas; Vergleich von Kombinationsprogrammen (Diät+Bewegung), Chirurgie und Pharmakotherapie mittels QALY und ICER.</w:t>
      </w:r>
    </w:p>
    <w:p>
      <w:r>
        <w:rPr>
          <w:b/>
        </w:rPr>
        <w:t xml:space="preserve">Ergebnis: </w:t>
      </w:r>
      <w:r>
        <w:t>Kombinierte Diät-/Bewegungsprogramme: ICER £16.915–£31.305/QALY mit QALY-Gewinn 0,05–0,16; bariatrische Chirurgie: ICER £4.361–£19.303/QALY, QALY 0,81–1,7; GLP-1-Rezeptoragonisten: ICER £32.265–£35.832/QALY. Nach UK-Schwellen (£25.000–£35.000/QALY) ist Chirurgie kosteneffektiv; Pharmakotherapie an Grenze.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UK-Schwellenwerte; Übertragbarkeit auf Deutschland eingeschränkt (GLP-1 dort nicht erstattet, Erstattungswege für Chirurgie unterschiedlich)</w:t>
      </w:r>
    </w:p>
    <w:p>
      <w:r>
        <w:rPr>
          <w:color w:val="5A7D3A"/>
          <w:sz w:val="18"/>
        </w:rPr>
        <w:t>https://pubmed.ncbi.nlm.nih.gov/42772870/</w:t>
      </w:r>
    </w:p>
    <w:p>
      <w:pPr>
        <w:pStyle w:val="Heading2"/>
      </w:pPr>
      <w:r>
        <w:t>Konsistente moderate Gewichtsabnahme bei Kindern prognostiziert langfristige Therapieerfolge besser als rapide Abnahme</w:t>
      </w:r>
    </w:p>
    <w:p>
      <w:r>
        <w:rPr>
          <w:i/>
          <w:color w:val="666666"/>
          <w:sz w:val="18"/>
        </w:rPr>
        <w:t>Saelens BE et al.  ·  Pediatr Obes  ·  Sept. 2026  ·  PMID 42770536</w:t>
      </w:r>
    </w:p>
    <w:p>
      <w:r>
        <w:t>Latenklassen-Analyse (N=294 Kinder, 7–11 Jahre) mit BMI-Verlauf während und nach Adipositasbehandlung (Verhaltensintervention); Identifikation von drei Gewichtsverlauf-Mustern und deren Vorhersage für BMI z-Score nach 1-Jahres-Nachverfolgung.</w:t>
      </w:r>
    </w:p>
    <w:p>
      <w:r>
        <w:rPr>
          <w:b/>
        </w:rPr>
        <w:t xml:space="preserve">Ergebnis: </w:t>
      </w:r>
      <w:r>
        <w:t>Drei Klassen: schnelle Abnahme dann stabil (6%), konsistent moderate Abnahme (43%), moderate abnehmend (51%). Konsistent moderate Gewichtsabnahme zeigte stabilste Ergebnisse im Follow-up (BMI z-Score-Anstieg minimal vs. Anstieg in anderen Gruppen, p=0,017). Rapide initial Gewichtsabnahme nicht mit besseren Langzeitergebnissen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generalisierbar für verhaltensbasierte Interventionen in Kinder-Adipositasprogrammen</w:t>
      </w:r>
    </w:p>
    <w:p>
      <w:r>
        <w:rPr>
          <w:color w:val="5A7D3A"/>
          <w:sz w:val="18"/>
        </w:rPr>
        <w:t>https://pubmed.ncbi.nlm.nih.gov/42770536/</w:t>
      </w:r>
    </w:p>
    <w:p>
      <w:pPr>
        <w:pStyle w:val="Heading2"/>
      </w:pPr>
      <w:r>
        <w:t>Strukturierte Familienunterstützung (Co-Fam) bei Adipositas von Kindern: Versorgungsmodell mit Implementationsprüfung</w:t>
      </w:r>
    </w:p>
    <w:p>
      <w:r>
        <w:rPr>
          <w:i/>
          <w:color w:val="666666"/>
          <w:sz w:val="18"/>
        </w:rPr>
        <w:t>Berdman I et al.  ·  BMC Public Health  ·  21.09.2026  ·  PMID 42768347</w:t>
      </w:r>
    </w:p>
    <w:p>
      <w:r>
        <w:t>Randomisierte Hybrid-Studie in Schweden zum Vergleich eines strukturierten 12-Monate-Programms (More and Less) mit Standardversorgung bei adipösen Kindern (6–12 Jahre); Primäre Ergebnis: BMI z-Score und Übergewichts-/Adipositasprävalenz nach 3 und 12 Monaten; sekundär: elterliche Fütterungspraktiken, körperliche Aktivität und Implementierungstreue.</w:t>
      </w:r>
    </w:p>
    <w:p>
      <w:r>
        <w:rPr>
          <w:b/>
        </w:rPr>
        <w:t xml:space="preserve">Ergebnis: </w:t>
      </w:r>
      <w:r>
        <w:t>Studienprotokoll; Ergebnisse noch ausstehend. Erwartung: Effektivitäts- und Implementierungsdaten werden die Skalierbarkeit des integrierten Modells (Schulprogramm + Primärversorgung) informieren.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 strukturiertes Gesundheitssystem mit schulischer Gesundheitsüberwachung</w:t>
      </w:r>
    </w:p>
    <w:p>
      <w:r>
        <w:rPr>
          <w:color w:val="5A7D3A"/>
          <w:sz w:val="18"/>
        </w:rPr>
        <w:t>https://pubmed.ncbi.nlm.nih.gov/42768347/</w:t>
      </w:r>
    </w:p>
    <w:p>
      <w:pPr>
        <w:pStyle w:val="Heading2"/>
      </w:pPr>
      <w:r>
        <w:t>GLP-1-Rezeptoragonisten (Dulaglutid, Semaglutid) senken HbA1c und Gewicht in afroamerikanischer Bevölkerung</w:t>
      </w:r>
    </w:p>
    <w:p>
      <w:r>
        <w:rPr>
          <w:i/>
          <w:color w:val="666666"/>
          <w:sz w:val="18"/>
        </w:rPr>
        <w:t>Deas C et al.  ·  J Health Care Poor Underserved  ·  2026  ·  PMID 42766517</w:t>
      </w:r>
    </w:p>
    <w:p>
      <w:r>
        <w:t>Retrospektive Kohortenstudie (N=91 Patienten, 85,7% afroamerikanisch) zu realen Effekten von Dulaglutid und Semaglutid auf HbA1c und Gewicht über durchschnittlich 14,9 Monate; Vergleich von Dosisgruppen.</w:t>
      </w:r>
    </w:p>
    <w:p>
      <w:r>
        <w:rPr>
          <w:b/>
        </w:rPr>
        <w:t xml:space="preserve">Ergebnis: </w:t>
      </w:r>
      <w:r>
        <w:t>HbA1c-Reduktion um 2,39% (p&lt;0,001); Gewichtsabnahme 4,76 kg (p&lt;0,001). Hochdosis-Dulaglutid signifikant stärkere HbA1c-Senkung als Niedrigdosis (p=0,023). Ergebnis dokumentiert Wirksamkeit in unterrepräsentierter Population, aber ohne Vergleichsgruppe und ohne Daten zu Folgeerkrankungen.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Übertragbarkeit zu Wirksamkeit begrenzt – in Deutschland Paragraf 34 SGB V schließt GLP-1 von Kostenübernahme aus</w:t>
      </w:r>
    </w:p>
    <w:p>
      <w:r>
        <w:rPr>
          <w:color w:val="5A7D3A"/>
          <w:sz w:val="18"/>
        </w:rPr>
        <w:t>https://pubmed.ncbi.nlm.nih.gov/42766517/</w:t>
      </w:r>
    </w:p>
    <w:p>
      <w:pPr>
        <w:pStyle w:val="Heading2"/>
      </w:pPr>
      <w:r>
        <w:t>Höherer BMI mit besserer Tumorregression bei Ösophaguskarzinom – Paradox aus deutschem Registeranalyse</w:t>
      </w:r>
    </w:p>
    <w:p>
      <w:r>
        <w:rPr>
          <w:i/>
          <w:color w:val="666666"/>
          <w:sz w:val="18"/>
        </w:rPr>
        <w:t>Otto SD et al.  ·  Cancer Med  ·  Sept. 2026  ·  PMID 42760794</w:t>
      </w:r>
    </w:p>
    <w:p>
      <w:r>
        <w:t>Prospektive Registeranalyse (DGAV, N=647 Patienten mit Ösophaguskarzinom) zur Assoziation zwischen BMI und histopathologischem Tumorreggressionsgrad nach neoadjuvanter Therapie; Hazard Ratios adjustiert für klinische und Tumorcharakteristika.</w:t>
      </w:r>
    </w:p>
    <w:p>
      <w:r>
        <w:rPr>
          <w:b/>
        </w:rPr>
        <w:t xml:space="preserve">Ergebnis: </w:t>
      </w:r>
      <w:r>
        <w:t>Unerwartet: höherer BMI mit vermindertem Risiko für höhere Becker-Grade (≥2: OR 0,97 per BMI-Einheit, p=0,04; ≥3: OR 0,93, p&lt;0,001). Keine Assoziation für Übergang zu Grad ≥1b. Autoren deuten auf unterschiedliche Tumorkobiologie hin, warnen aber vor Kausalitätsinterpretation.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(DGAV-Register); hohe Übertragbarkeit auf deutsches Gesundheitssystem</w:t>
      </w:r>
    </w:p>
    <w:p>
      <w:r>
        <w:rPr>
          <w:color w:val="5A7D3A"/>
          <w:sz w:val="18"/>
        </w:rPr>
        <w:t>https://pubmed.ncbi.nlm.nih.gov/42760794/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