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23.09.2026  |  191 Studien  |  adipositas.m-vf.de</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Evans C et al.  ·  Nutrients  ·  02.09.2026  ·  PMID 42739050</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https://pubmed.ncbi.nlm.nih.gov/42739050/</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GRACE-Studie in Spanien und 5 Ländern</w:t>
      </w:r>
    </w:p>
    <w:p>
      <w:r>
        <w:rPr>
          <w:i/>
          <w:color w:val="666666"/>
          <w:sz w:val="18"/>
        </w:rPr>
        <w:t>Ciriza-Barea E et al.  ·  Rev Esp Salud Publica  ·  03.09.2026  ·  PMID 42690077</w:t>
      </w:r>
    </w:p>
    <w:p>
      <w:r>
        <w:t>GRACE-Studienprotokoll, prospektive Querschnittsuntersuchung über Geschlechtsdifferenzen in der Körperbildwahrnehmung bei krebs-induziertem Gewichtsverlust, später auch prospektive Prüfung: Naturkontakt bei Kindern (7–14 J.) und Adipositas-Assoziationen in Spanien und 5 weiteren Ländern.</w:t>
      </w:r>
    </w:p>
    <w:p>
      <w:r>
        <w:rPr>
          <w:b/>
        </w:rPr>
        <w:t xml:space="preserve">Ergebnis: </w:t>
      </w:r>
      <w:r>
        <w:t>Studienprotokoll für 600 Kinder (50 % Mädchen) über 12 Monate; primärer Endpunkt ist Unterschied in Körperbildskala-Scores zwischen Geschlechtern (3 Punkte als klinisch relevant). Dabei Erfassung von physischer Aktivität, Bildschirmzeit, psychischen und schulischen Faktoren.</w:t>
      </w:r>
    </w:p>
    <w:p>
      <w:r>
        <w:rPr>
          <w:b/>
          <w:sz w:val="19"/>
        </w:rPr>
        <w:t xml:space="preserve">Übertragbarkeit: </w:t>
      </w:r>
      <w:r>
        <w:rPr>
          <w:sz w:val="19"/>
        </w:rPr>
        <w:t>Spanien und multinationale Kohörte, primärmedizinische Versorgung, Prävention im schulischen Kontext.</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2026-09-23T06:00:00Z</dcterms:created>
  <dcterms:modified xsi:type="dcterms:W3CDTF">2026-09-23T06:00:00Z</dcterms:modified>
  <cp:category/>
</cp:coreProperties>
</file>