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13.10.2026  |  6 Studien  |  adipositas.m-vf.de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CPAP bei Schlafapnoe und Adipositas: Pulmonalarteriendruck sinkt, aber Herzstruktur bleibt unverändert</w:t>
      </w:r>
    </w:p>
    <w:p>
      <w:r>
        <w:rPr>
          <w:i/>
          <w:color w:val="666666"/>
          <w:sz w:val="18"/>
        </w:rPr>
        <w:t>Li J et al.  ·  Can Respir J  ·  2026  ·  PMID 42861515</w:t>
      </w:r>
    </w:p>
    <w:p>
      <w:r>
        <w:t>Systematischer Review und Metaanalyse von 8 Studien (2 RCTs, 6 Kohorten, 574 Patienten) zur Wirkung von CPAP auf pulmonale Hämodynamik und linksventrikuläre Funktion bei OSA/OHS.</w:t>
      </w:r>
    </w:p>
    <w:p>
      <w:r>
        <w:rPr>
          <w:b/>
        </w:rPr>
        <w:t xml:space="preserve">Ergebnis: </w:t>
      </w:r>
      <w:r>
        <w:t>CPAP reduzierte signifikant den Pulmonalarteriendruck (MD −2,32 mmHg; 95%-KI −3,88 bis −0,76; p=0,004) und verbesserte die diastolische Funktion (E/A-Ratio MD +0,29; 95%-KI +0,09 bis +0,48; p=0,004). Keine signifikanten Effekte auf linksventrikuläre Masse (p=0,27) oder Ejektionsfraktion (p=0,61). Befunde waren robust in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Systematik und Endergebnisse sind behandlungsunabhängig übertragbar</w:t>
      </w:r>
    </w:p>
    <w:p>
      <w:r>
        <w:rPr>
          <w:color w:val="5A7D3A"/>
          <w:sz w:val="18"/>
        </w:rPr>
        <w:t>https://pubmed.ncbi.nlm.nih.gov/42861515/</w:t>
      </w:r>
    </w:p>
    <w:p>
      <w:pPr>
        <w:pStyle w:val="Heading2"/>
      </w:pPr>
      <w:r>
        <w:t>Antipsychotika und Adipositas: Strukturierte Diagnostik und Metformin in der psychiatrischen Praxis</w:t>
      </w:r>
    </w:p>
    <w:p>
      <w:r>
        <w:rPr>
          <w:i/>
          <w:color w:val="666666"/>
          <w:sz w:val="18"/>
        </w:rPr>
        <w:t>Wichniak A et al.  ·  Psychiatr Pol  ·  30.08.2026  ·  PMID 42857934</w:t>
      </w:r>
    </w:p>
    <w:p>
      <w:r>
        <w:t>Klinische Handlungsempfehlungen der Polnischen Psychiatrischen Gesellschaft zu Prävention metabolischer Störungen bei Patienten unter Antipsychotika mit konkretisierten Überwachungsintervallen und Therapieempfehlungen.</w:t>
      </w:r>
    </w:p>
    <w:p>
      <w:r>
        <w:rPr>
          <w:b/>
        </w:rPr>
        <w:t xml:space="preserve">Ergebnis: </w:t>
      </w:r>
      <w:r>
        <w:t>Cardiometabolische Risikoerfassung (Gewicht, Taillenumfang, Blutdruck, Blutzucker, HbA1c, Lipidprofil) vor Therapiestart, dann in Woche 6, 12 und dann jährlich empfohlen. Bei Gewichtszunahme und Risikofaktoren: Metformin 1.000–2.000 mg/Tag als beste dokumentierte, sichere und kostengünstige Präventionsmethode; Adipöse Patienten sollten eine wirksame Pharmakotherapie nach aktuellen Leitlinien 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Versicherungssystem, psychiatrische Standardversorgung</w:t>
      </w:r>
    </w:p>
    <w:p>
      <w:r>
        <w:rPr>
          <w:color w:val="5A7D3A"/>
          <w:sz w:val="18"/>
        </w:rPr>
        <w:t>https://pubmed.ncbi.nlm.nih.gov/42857934/</w:t>
      </w:r>
    </w:p>
    <w:p>
      <w:pPr>
        <w:pStyle w:val="Heading2"/>
      </w:pPr>
      <w:r>
        <w:t>Gewichtsmanagement in der Schwangerschaft: Minderheitenangehörige Frauen in UK erhalten keine kulturgerechte Unterstützung</w:t>
      </w:r>
    </w:p>
    <w:p>
      <w:r>
        <w:rPr>
          <w:i/>
          <w:color w:val="666666"/>
          <w:sz w:val="18"/>
        </w:rPr>
        <w:t>Morsy B et al.  ·  Front Public Health  ·  25.09.2026  ·  PMID 42856522</w:t>
      </w:r>
    </w:p>
    <w:p>
      <w:r>
        <w:t>Scoping Review zur Gewichtskontrolle in der Schwangerschaft bei ethnischen Minderheiten im UK: Nur 3 Studien mit 1.741 Teilnehmerinnen gefunden, alle ohne kulturelle Anpassung und mit unzureichenden ethnischen Untergruppen-Analysen.</w:t>
      </w:r>
    </w:p>
    <w:p>
      <w:r>
        <w:rPr>
          <w:b/>
        </w:rPr>
        <w:t xml:space="preserve">Ergebnis: </w:t>
      </w:r>
      <w:r>
        <w:t>Von 3 eingeschlossenen Studien (2016–2025) zeigten alle unzureichende kulturelle Anpassung und fragmentierte ethnisch stratifizierte Datenberichte. Minderheitenangehörige Frauen zeigten niedrigere Beteiligung; keine Studie konnte nachweisen, ob Interventionen ethnische Unterschiede in Gestationsdiabetes-Ergebnissen reduzierten. Die Evidenzlücke zu kulturgerechten Programmen ist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vergleichbares Sozialversicherungssystem, relevante Equity-Fragestellung</w:t>
      </w:r>
    </w:p>
    <w:p>
      <w:r>
        <w:rPr>
          <w:color w:val="5A7D3A"/>
          <w:sz w:val="18"/>
        </w:rPr>
        <w:t>https://pubmed.ncbi.nlm.nih.gov/42856522/</w:t>
      </w:r>
    </w:p>
    <w:p>
      <w:pPr>
        <w:pStyle w:val="Heading2"/>
      </w:pPr>
      <w:r>
        <w:t>Magenverweilstörung nach Pankreatoduodenektomie: Zwei Anastomose-Techniken zeigen keinen Unterschied</w:t>
      </w:r>
    </w:p>
    <w:p>
      <w:r>
        <w:rPr>
          <w:i/>
          <w:color w:val="666666"/>
          <w:sz w:val="18"/>
        </w:rPr>
        <w:t>Robin F et al.  ·  Ann Surg  ·  01.11.2026  ·  PMID 42832388</w:t>
      </w:r>
    </w:p>
    <w:p>
      <w:r>
        <w:t>Randomisierte kontrolierte Studie an 2 französischen Hochvolumen-Zentren mit 158 Patienten (79 pro Gruppe), die zwei Techniken der Magenverweilstörung nach Pankreatoduodenektomie verglichen.</w:t>
      </w:r>
    </w:p>
    <w:p>
      <w:r>
        <w:rPr>
          <w:b/>
        </w:rPr>
        <w:t xml:space="preserve">Ergebnis: </w:t>
      </w:r>
      <w:r>
        <w:t>Magenverweilstörung (DGE) trat bei 38,0% nach side-to-side und 30,4% nach end-to-side Technik auf (RR 1,25; 95%-KI 0,81–1,94; p=0,314). Sekundäre Endpunkte (Fistelrate, Reinvasionen, Mortalität, Lebensqualität nach GIQLI) unterschieden sich nicht signifikant zwischen Gruppen. Ernährungsparameter und Lebensqualität waren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Gesundheitssystem, hochspezialisierte chirurgische Versorgung</w:t>
      </w:r>
    </w:p>
    <w:p>
      <w:r>
        <w:rPr>
          <w:color w:val="5A7D3A"/>
          <w:sz w:val="18"/>
        </w:rPr>
        <w:t>https://pubmed.ncbi.nlm.nih.gov/42832388/</w:t>
      </w:r>
    </w:p>
    <w:p>
      <w:pPr>
        <w:pStyle w:val="Heading2"/>
      </w:pPr>
      <w:r>
        <w:t>Frühe Menarche und Menopause: Taillenumfang mediiert kardiovaskuläres Risiko bei postmenopausalen Frauen</w:t>
      </w:r>
    </w:p>
    <w:p>
      <w:r>
        <w:rPr>
          <w:i/>
          <w:color w:val="666666"/>
          <w:sz w:val="18"/>
        </w:rPr>
        <w:t>Borrowman JD et al.  ·  J Am Heart Assoc  ·  06.10.2026  ·  PMID 42786622</w:t>
      </w:r>
    </w:p>
    <w:p>
      <w:r>
        <w:t>Prospektive Kohortenstudie mit 119.182 postmenopausalen Frauen aus WHI (Oktober 1993–Januar 2025 Follow-up); Untersuchung von Reproduktionsmerkmalen und abdominaler Adipositas als Mediatoren des CVD-Risikos.</w:t>
      </w:r>
    </w:p>
    <w:p>
      <w:r>
        <w:rPr>
          <w:b/>
        </w:rPr>
        <w:t xml:space="preserve">Ergebnis: </w:t>
      </w:r>
      <w:r>
        <w:t>Über Median 12,8 Jahre traten 12.731 kardiovaskuläre Ereignisse auf (Rate 10,4/1.000 Personenjahre). Frühe Menarche (HR 1,07; 95%-KI 1,01–1,15), frühe Menopause (HR 1,22; 95%-KI 1,11–1,35) und kurze Reproduktionslifespan (HR 1,21; 95%-KI 1,13–1,29) waren mit CVD assoziiert. Taillenumfang war signifikanter Mediator aller drei Assoziationen. Diese Befunde zeigen, dass abdominale Adipositas einen wesentlichen Pfad zwischen Reproduktionsfaktoren und kardiovaskulärem Risiko darstellt.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Fragestellung und Medations-Befunde sind universell übertragbar</w:t>
      </w:r>
    </w:p>
    <w:p>
      <w:r>
        <w:rPr>
          <w:color w:val="5A7D3A"/>
          <w:sz w:val="18"/>
        </w:rPr>
        <w:t>https://pubmed.ncbi.nlm.nih.gov/42786622/</w:t>
      </w:r>
    </w:p>
    <w:p>
      <w:pPr>
        <w:pStyle w:val="Heading2"/>
      </w:pPr>
      <w:r>
        <w:t>Berberin-Kombipräparat: Geringe Verbesserung von Insulinsensitivität und Körperfettmasse über 12 Wochen</w:t>
      </w:r>
    </w:p>
    <w:p>
      <w:r>
        <w:rPr>
          <w:i/>
          <w:color w:val="666666"/>
          <w:sz w:val="18"/>
        </w:rPr>
        <w:t>Xenos K et al.  ·  Nutrients  ·  27.08.2026  ·  PMID 42738972</w:t>
      </w:r>
    </w:p>
    <w:p>
      <w:r>
        <w:t>Randomisierte kontrollierte 12-Wochen-Studie mit 93 griechischen Erwachsenen mit Adipositas; Kombination von Berberin (1.000 mg), Maulbeerbaum-Extrakt (400 mg) und Chrom-Pikotinat (0,644 mg) versus Placebo.</w:t>
      </w:r>
    </w:p>
    <w:p>
      <w:r>
        <w:rPr>
          <w:b/>
        </w:rPr>
        <w:t xml:space="preserve">Ergebnis: </w:t>
      </w:r>
      <w:r>
        <w:t>Aktive Gruppe vs. Placebo zeigte signifikante Reduktion: BMI −1,24 kg/m² (95%-KI −2,15 bis −0,33), Gesamtkörperfett −2,35 kg (95%-KI −4,12 bis −0,58), viszerales Fett −0,92 Einheiten (95%-KI −1,74 bis −0,10). Insulinsensitivität verbesserte sich um 28% stärker in der aktiven Gruppe (geometrisches Mittel-Ratio 1,28; 95%-KI 1,14–1,44). Einzelkomponenten-Beiträge ungeklärt.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europäisches System, aber geringe Effektstärke und kurze Dauer</w:t>
      </w:r>
    </w:p>
    <w:p>
      <w:r>
        <w:rPr>
          <w:color w:val="5A7D3A"/>
          <w:sz w:val="18"/>
        </w:rPr>
        <w:t>https://pubmed.ncbi.nlm.nih.gov/42738972/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