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737360" cy="4596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f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459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0051A1"/>
          <w:sz w:val="19"/>
        </w:rPr>
        <w:t>Ein Service des Knowledge-Hubs von Monitor Versorgungsforschung. Täglich automatisiert KI-kuratiert aus PubMed und auf Deutsch übersetzt.</w:t>
      </w:r>
    </w:p>
    <w:p>
      <w:pPr>
        <w:pStyle w:val="Title"/>
      </w:pPr>
      <w:r>
        <w:t>Neueste Studien - Adipositas</w:t>
      </w:r>
    </w:p>
    <w:p>
      <w:r>
        <w:rPr>
          <w:i/>
          <w:color w:val="666666"/>
          <w:sz w:val="18"/>
        </w:rPr>
        <w:t>Stand: 27.10.2026  |  7 Studien  |  adipositas.m-vf.de</w:t>
      </w:r>
    </w:p>
    <w:p>
      <w:pPr>
        <w:pStyle w:val="Heading1"/>
      </w:pPr>
      <w:r>
        <w:t>Aufgenommen am 27.10.2026</w:t>
      </w:r>
    </w:p>
    <w:p>
      <w:pPr>
        <w:pStyle w:val="Heading2"/>
      </w:pPr>
      <w:r>
        <w:t>Gewichtsverlust im Alter erhöht psychische Belastung dosisabhängig</w:t>
      </w:r>
    </w:p>
    <w:p>
      <w:r>
        <w:rPr>
          <w:i/>
          <w:color w:val="666666"/>
          <w:sz w:val="18"/>
        </w:rPr>
        <w:t>Chou YC et al.  ·  BMC Geriatr  ·  29.07.2026  ·  PMID 42928118</w:t>
      </w:r>
    </w:p>
    <w:p>
      <w:r>
        <w:t>Prospektive Kohortenstudie mit 70.570 Älteren (≥65 Jahre) aus Taiwan über 12 Jahre (2005–2016) zur Assoziation zwischen BMI-Veränderungen und psychischer Belastung (BSRS-5-Score).</w:t>
      </w:r>
    </w:p>
    <w:p>
      <w:r>
        <w:rPr>
          <w:b/>
        </w:rPr>
        <w:t xml:space="preserve">Ergebnis: </w:t>
      </w:r>
      <w:r>
        <w:t>Starker Gewichtsverlust (&gt;10 %): adjustierte OR = 1,90 (95%-KI: 1,77–2,04) für psychische Belastung; leichter Gewichtsverlust (5–10 %): aOR = 1,60 (95%-KI: 1,52–1,68). Gewichtszunahme zeigte niedrigere und weniger robuste Effekte. Assoziation war dosisabhängig und blieb in Sensitivitätsanalysen signifikant.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Taiwan, großes Register, Gewichtsverlust oft Frühzeichen Systemerkrankung</w:t>
      </w:r>
    </w:p>
    <w:p>
      <w:r>
        <w:rPr>
          <w:color w:val="5A7D3A"/>
          <w:sz w:val="18"/>
        </w:rPr>
        <w:t>https://pubmed.ncbi.nlm.nih.gov/42928118/</w:t>
      </w:r>
    </w:p>
    <w:p>
      <w:pPr>
        <w:pStyle w:val="Heading2"/>
      </w:pPr>
      <w:r>
        <w:t>GLP-1 nach Adipositaschirurgie: Nutzen hängt vom Zeitpunkt ab</w:t>
      </w:r>
    </w:p>
    <w:p>
      <w:r>
        <w:rPr>
          <w:i/>
          <w:color w:val="666666"/>
          <w:sz w:val="18"/>
        </w:rPr>
        <w:t>He MC et al.  ·  Zhonghua Wei Chang Wai Ke Za Zhi  ·  25.10.2026  ·  PMID 42927970</w:t>
      </w:r>
    </w:p>
    <w:p>
      <w:r>
        <w:t>Systematische Übersicht und Metaanalyse von 27 Studien (13 mit Quantifizierung) zur Wirksamkeit und Sicherheit von GLP-1-Rezeptoragonisten vor, unmittelbar nach und &gt;6 Monate nach Adipositaschirurgie.</w:t>
      </w:r>
    </w:p>
    <w:p>
      <w:r>
        <w:rPr>
          <w:b/>
        </w:rPr>
        <w:t xml:space="preserve">Ergebnis: </w:t>
      </w:r>
      <w:r>
        <w:t>Präoperativ: SMD 0,52 für Gewichtsverlust (95%-KI: 0,25–0,79), aber mit OP-Gewicht als Baseline: −2,85 Prozentpunkte Gesamtgewichtsverlust (TWL) bei 12 Monaten. Früh postoperativ (1 Monat): +3,62 Prozentpunkte TWL bei 6 Monaten. Nach 6 Monaten: +7,48 kg Zusatzverlust. Rettungstherapie: +10,30 % Endpunkt-Gewichtsverlust vs. Placebo. NW hauptsächlich gastrointestinal (Übelkeit 25,3 %, Verstopfung 19,0 %), schwer selten.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China, systematische Übersicht international, GLP-1-Erstattung dort unterschiedlich zu Deutschland</w:t>
      </w:r>
    </w:p>
    <w:p>
      <w:r>
        <w:rPr>
          <w:color w:val="5A7D3A"/>
          <w:sz w:val="18"/>
        </w:rPr>
        <w:t>https://pubmed.ncbi.nlm.nih.gov/42927970/</w:t>
      </w:r>
    </w:p>
    <w:p>
      <w:pPr>
        <w:pStyle w:val="Heading2"/>
      </w:pPr>
      <w:r>
        <w:t>Elternfütterungspraktiken und Stress: keine moderierenden Effekte auf Kindergewicht</w:t>
      </w:r>
    </w:p>
    <w:p>
      <w:r>
        <w:rPr>
          <w:i/>
          <w:color w:val="666666"/>
          <w:sz w:val="18"/>
        </w:rPr>
        <w:t>Demi̇rtaş E et al.  ·  BMC Public Health  ·  07.08.2026  ·  PMID 42926235</w:t>
      </w:r>
    </w:p>
    <w:p>
      <w:r>
        <w:t>Querschnittsstudie mit 441 Kindern (3–11 Jahre) und ihren Müttern in der Türkei zur Assoziation zwischen Elternfütterungspraktiken, mütterlichem Stress und Kinder-BMI.</w:t>
      </w:r>
    </w:p>
    <w:p>
      <w:r>
        <w:rPr>
          <w:b/>
        </w:rPr>
        <w:t xml:space="preserve">Ergebnis: </w:t>
      </w:r>
      <w:r>
        <w:t>Druck zum Essen zeigte negative Assoziation mit BMI (B = −0,120; p &lt; 0,001); Restriktion und Monitoring nicht signifikant. Mütterlicher Stress war schwach negativ assoziiert in Restriktions- und Monitoring-Modellen, aber nicht beim Druck-zum-Essen-Modell. Keine signifikanten Interaktionsterme. Modelle erklärten 3,5–7,2 % der BMI-Varianz.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Türkei, repräsentativ, aber Moderationseffekte kulturell variabel</w:t>
      </w:r>
    </w:p>
    <w:p>
      <w:r>
        <w:rPr>
          <w:color w:val="5A7D3A"/>
          <w:sz w:val="18"/>
        </w:rPr>
        <w:t>https://pubmed.ncbi.nlm.nih.gov/42926235/</w:t>
      </w:r>
    </w:p>
    <w:p>
      <w:pPr>
        <w:pStyle w:val="Heading2"/>
      </w:pPr>
      <w:r>
        <w:t>Doppelbelastung: 4,7 % der Kinder zeigen Stunting und Übergewicht gleichzeitig</w:t>
      </w:r>
    </w:p>
    <w:p>
      <w:r>
        <w:rPr>
          <w:i/>
          <w:color w:val="666666"/>
          <w:sz w:val="18"/>
        </w:rPr>
        <w:t>de Carvalho JTP et al.  ·  Epidemiol Serv Saude  ·  03.04.2026  ·  PMID 42922964</w:t>
      </w:r>
    </w:p>
    <w:p>
      <w:r>
        <w:t>Deskriptive Studie mit anthropometrischen Daten aus dem Brasilianischen Lebensmittel- und Ernährungsüberwachungssystem zu Prävalenz und Muster der Doppelbelastung Malnutrition (gleichzeitig Stunting und hohes BMI-für-Alter) bei 1.704 Kindern (0–9 Jahre) in Icapuí, Ceará.</w:t>
      </w:r>
    </w:p>
    <w:p>
      <w:r>
        <w:rPr>
          <w:b/>
        </w:rPr>
        <w:t xml:space="preserve">Ergebnis: </w:t>
      </w:r>
      <w:r>
        <w:t>23,9 % Übergewicht (Übergewicht, Adipositas, schwere Adipositas); 10,2 % Stunting. Doppelbelastung in 4,7 %, höher bei unter 5 Jahren (6,5 %) als bei 5–9 Jahren (3,0 %). Jungen zeigten höhere Stunting- und Doppelbelastungs-Prävalenz als Mädchen.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Brasilien, Primärversorgung, klassisches Problem niedrig-mittlerer Einkommensländer</w:t>
      </w:r>
    </w:p>
    <w:p>
      <w:r>
        <w:rPr>
          <w:color w:val="5A7D3A"/>
          <w:sz w:val="18"/>
        </w:rPr>
        <w:t>https://pubmed.ncbi.nlm.nih.gov/42922964/</w:t>
      </w:r>
    </w:p>
    <w:p>
      <w:pPr>
        <w:pStyle w:val="Heading2"/>
      </w:pPr>
      <w:r>
        <w:t>Schwangerschaftsgewichtszunahme unter 10 kg erhöht Vitamin-D-Mangel beim Kind</w:t>
      </w:r>
    </w:p>
    <w:p>
      <w:r>
        <w:rPr>
          <w:i/>
          <w:color w:val="666666"/>
          <w:sz w:val="18"/>
        </w:rPr>
        <w:t>Zhao Y et al.  ·  Front Endocrinol (Lausanne)  ·  08.10.2026  ·  PMID 42922897</w:t>
      </w:r>
    </w:p>
    <w:p>
      <w:r>
        <w:t>Multizentrische retrospektive Kohortenstudie mit 1.984 Mutter-Kind-Paaren in Jiangsu-Provinz (China), 2014–2015, zur Assoziation zwischen mütterlicher Gestationsgewichtszunahme (GWG) und Vitamin-D-Status der Kinder (0–5 Jahre).</w:t>
      </w:r>
    </w:p>
    <w:p>
      <w:r>
        <w:rPr>
          <w:b/>
        </w:rPr>
        <w:t xml:space="preserve">Ergebnis: </w:t>
      </w:r>
      <w:r>
        <w:t>GWG ≤10 kg war assoziiert mit erhöhtem Vitamin-D-Mangel-Risiko (OR = 1,82; 95%-KI: 1,36–2,44 in Modell 1) und blieb in mehreren Modellen signifikant. GWG &gt;19 kg zeigte erhöhtes Insuffizienz-Risiko (OR = 1,31 unadjustiert), die Assoziation war aber nach FDR-Korrektur nicht robust.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China, multizentrisch, aber Vitamin-D-Status stark klimaabhängig</w:t>
      </w:r>
    </w:p>
    <w:p>
      <w:r>
        <w:rPr>
          <w:color w:val="5A7D3A"/>
          <w:sz w:val="18"/>
        </w:rPr>
        <w:t>https://pubmed.ncbi.nlm.nih.gov/42922897/</w:t>
      </w:r>
    </w:p>
    <w:p>
      <w:pPr>
        <w:pStyle w:val="Heading2"/>
      </w:pPr>
      <w:r>
        <w:t>Adipositas-Fortbildung in Brasilien: Ernährungsberater absolvieren häufiger</w:t>
      </w:r>
    </w:p>
    <w:p>
      <w:r>
        <w:rPr>
          <w:i/>
          <w:color w:val="666666"/>
          <w:sz w:val="18"/>
        </w:rPr>
        <w:t>Silva ARE et al.  ·  Epidemiol Serv Saude  ·  16.07.2026  ·  PMID 42922716</w:t>
      </w:r>
    </w:p>
    <w:p>
      <w:r>
        <w:t>Querschnittsstudie mit 3.975 angemeldeten Fachkräften und Studierenden zu Faktoren für den Abschluss einer 40-Stunden-Distanzfortbildung zum kollektiven Adipositas-Management im brasilianischen SUS (2021–2022).</w:t>
      </w:r>
    </w:p>
    <w:p>
      <w:r>
        <w:rPr>
          <w:b/>
        </w:rPr>
        <w:t xml:space="preserve">Ergebnis: </w:t>
      </w:r>
      <w:r>
        <w:t>1.620 (40,8 %) greifen auf Plattform zu. Nach Adjustment: Ernährungsberater (OR = 1,55; 95%-KI: 1,09–2,19) und vorherige Exposition gegenüber gedrucktem/digitalem Material (OR = 1,27; 95%-KI: 1,04–1,56) erhöhen Abschlusswahrscheinlichkeit. 91 % Frauen, 56,7 % Ernährungsberater, 54,8 % in Südosten tätig.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Brasilien, Versorgungssystem SUS, Berufskategorie und Zugang zentral</w:t>
      </w:r>
    </w:p>
    <w:p>
      <w:r>
        <w:rPr>
          <w:color w:val="5A7D3A"/>
          <w:sz w:val="18"/>
        </w:rPr>
        <w:t>https://pubmed.ncbi.nlm.nih.gov/42922716/</w:t>
      </w:r>
    </w:p>
    <w:p>
      <w:pPr>
        <w:pStyle w:val="Heading2"/>
      </w:pPr>
      <w:r>
        <w:t>Bangla desh: Untergewicht um 41 % gesunken, Übergewicht um 34 % gestiegen</w:t>
      </w:r>
    </w:p>
    <w:p>
      <w:r>
        <w:rPr>
          <w:i/>
          <w:color w:val="666666"/>
          <w:sz w:val="18"/>
        </w:rPr>
        <w:t>Billah MA et al.  ·  Public Health Nutr  ·  23.10.2026  ·  PMID 42922254</w:t>
      </w:r>
    </w:p>
    <w:p>
      <w:r>
        <w:t>Analyse von acht Wellen der Bangladesh Demographic Health Surveys (1996–2022) mit 90.510 Frauen im reproduktiven Alter zur Dokumentation des epidemiologischen Übergangs von Untergewicht zu Übergewicht.</w:t>
      </w:r>
    </w:p>
    <w:p>
      <w:r>
        <w:rPr>
          <w:b/>
        </w:rPr>
        <w:t xml:space="preserve">Ergebnis: </w:t>
      </w:r>
      <w:r>
        <w:t>Untergewicht-Prävalenz sank um 41,3 %, Übergewicht/Adipositas stieg um 33,6 %. BMI verschob sich um ~5 kg/m². Urban-ländliche Disparität: Untergewicht häufiger rural, Übergewicht häufiger urban. Höheres Alter, mehr Bildung und höherer sozioökonomischer Status assoziiert mit Übergewicht.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Bangladesch, nationale Repräsentativität über 26 Jahre, globales Muster</w:t>
      </w:r>
    </w:p>
    <w:p>
      <w:r>
        <w:rPr>
          <w:color w:val="5A7D3A"/>
          <w:sz w:val="18"/>
        </w:rPr>
        <w:t>https://pubmed.ncbi.nlm.nih.gov/42922254/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Neueste Studien - Adipositas</dc:title>
  <dc:subject/>
  <dc:creator>Monitor Versorgungsforschung</dc:creator>
  <cp:keywords/>
  <dc:description>generated by python-docx</dc:description>
  <cp:lastModifiedBy/>
  <cp:revision>1</cp:revision>
  <dcterms:created xsi:type="dcterms:W3CDTF">2026-10-27T06:00:00Z</dcterms:created>
  <dcterms:modified xsi:type="dcterms:W3CDTF">2026-10-27T06:00:00Z</dcterms:modified>
  <cp:category/>
</cp:coreProperties>
</file>