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11.09.2026  |  6 Studien  |  adipositas.m-vf.de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Adipositasprävention im Kindesalter: Strategische Lücken in spanischen Gesundheitsplänen</w:t>
      </w:r>
    </w:p>
    <w:p>
      <w:r>
        <w:rPr>
          <w:i/>
          <w:color w:val="666666"/>
          <w:sz w:val="18"/>
        </w:rPr>
        <w:t>Rondón Martínez E et al.  ·  Rev Esp Salud Publica  ·  09.09.2026  ·  PMID 42719940</w:t>
      </w:r>
    </w:p>
    <w:p>
      <w:r>
        <w:t>Eine Scoping Review untersuchte, wie die Adipositasprävention bei Kindern in spanischen nationalen und regionalen Gesundheitsplänen verankert ist.</w:t>
      </w:r>
    </w:p>
    <w:p>
      <w:r>
        <w:rPr>
          <w:b/>
        </w:rPr>
        <w:t xml:space="preserve">Ergebnis: </w:t>
      </w:r>
      <w:r>
        <w:t>Von 22 analysierten Plänen enthielten nur 9 regionale Ziele zur Adipositasprävention bei Kindern, davon nur eine quantifiziert; Programme und konkrete Aktivitäten waren in der Mehrzahl (n=8) nicht definiert. Die Umsetzung bleibt fragmentarisch und ohne messbare Vorgaben.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öffentliches Gesundheitssystem; Strukturlücken übertragbar auf deutschsprachige Länder.</w:t>
      </w:r>
    </w:p>
    <w:p>
      <w:r>
        <w:rPr>
          <w:color w:val="5A7D3A"/>
          <w:sz w:val="18"/>
        </w:rPr>
        <w:t>https://pubmed.ncbi.nlm.nih.gov/42719940/</w:t>
      </w:r>
    </w:p>
    <w:p>
      <w:pPr>
        <w:pStyle w:val="Heading2"/>
      </w:pPr>
      <w:r>
        <w:t>GLP-1-Agonisten nach Adipositaschirurgie bei unzureichendem Erfolg: Metaanalyse</w:t>
      </w:r>
    </w:p>
    <w:p>
      <w:r>
        <w:rPr>
          <w:i/>
          <w:color w:val="666666"/>
          <w:sz w:val="18"/>
        </w:rPr>
        <w:t>Santos-Pereira M et al.  ·  Front Endocrinol (Lausanne)  ·  26.08.2026  ·  PMID 42718598</w:t>
      </w:r>
    </w:p>
    <w:p>
      <w:r>
        <w:t>Eine systematische Übersicht und Metaanalyse (27 Studien, 19 in die Metaanalyse) untersuchte Wirksamkeit und Sicherheit von Liraglutid, Semaglutid und Tirzepatid bei Patienten, die ≥1 Jahr nach bariatrischen Eingriffen unzureichenden Gewichtsverlust oder Wiederzunahme aufwiesen.</w:t>
      </w:r>
    </w:p>
    <w:p>
      <w:r>
        <w:rPr>
          <w:b/>
        </w:rPr>
        <w:t xml:space="preserve">Ergebnis: </w:t>
      </w:r>
      <w:r>
        <w:t>Nach GLP-1-Agonisten-Therapie: Gewichtsverlust mit Liraglutid 9,22% (12 Monate) und Semaglutid 9,02% (12 Monate). Tirzepatid zeigte 4,23% zusätzlichen Gewichtsverlust gegenüber Semaglutid (6 Monate). Keine ernsthaften Nebenwirkungen; berichtete Effekte waren primär leichte gastrointestinale Symptome. Die substantielle Heterogenität der Studien erfordert Vorsicht bei der Interpretation.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Übersichtsarbeit mit internationalem Pool; GLP-1-Einsatz nach Chirurgie als Rescuetherapie transferierbar.</w:t>
      </w:r>
    </w:p>
    <w:p>
      <w:r>
        <w:rPr>
          <w:color w:val="5A7D3A"/>
          <w:sz w:val="18"/>
        </w:rPr>
        <w:t>https://pubmed.ncbi.nlm.nih.gov/42718598/</w:t>
      </w:r>
    </w:p>
    <w:p>
      <w:pPr>
        <w:pStyle w:val="Heading2"/>
      </w:pPr>
      <w:r>
        <w:t>Menstruationsfunktion und Fertilität nach metabolischer Adipositaschirurgie bei Frauen im reproduktiven Alter</w:t>
      </w:r>
    </w:p>
    <w:p>
      <w:r>
        <w:rPr>
          <w:i/>
          <w:color w:val="666666"/>
          <w:sz w:val="18"/>
        </w:rPr>
        <w:t>Whyte M et al.  ·  Obes Surg  ·  05.08.2026  ·  PMID 42554792</w:t>
      </w:r>
    </w:p>
    <w:p>
      <w:r>
        <w:t>Eine prospektive Kohortenstudie untersuchte Veränderungen in Menstruationsfunktion, Hormonprofilen und Fertilitätsparametern bei Frauen im reproduktiven Alter vor und nach Bypass oder Sleeve im Vergleich zu Kontrollen mit konservativer Gewichtsabnahme.</w:t>
      </w:r>
    </w:p>
    <w:p>
      <w:r>
        <w:rPr>
          <w:b/>
        </w:rPr>
        <w:t xml:space="preserve">Ergebnis: </w:t>
      </w:r>
      <w:r>
        <w:t>84 chirurgisch behandelte Frauen; 64-73% Excess-Weight-Loss bei 24 Monaten. Anti-Müller-Hormon sank (16,6 auf 16,0 pmol/L, p&lt;0,001); Sex-Hormon-Bindungs-Globulin stieg (30,6 auf 66,8 nmol/L, p&lt;0,001); freier Androgenindex sank (3,92 auf 1,84, p&lt;0,001). Unregelmäßige Menstruation und Hirsutismus nahmen ab. Polyzystische Ovarienstruktur reduzierte sich von 33% auf 10% (n=17). 20 Schwangerschaften traten auf, überwiegend 12-24 Monate postoperativ.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nationales Gesundheitssystem; Reproduktionsgesundheit als langfristiges Outcome über die Gewichtskurve hinaus.</w:t>
      </w:r>
    </w:p>
    <w:p>
      <w:r>
        <w:rPr>
          <w:color w:val="5A7D3A"/>
          <w:sz w:val="18"/>
        </w:rPr>
        <w:t>https://pubmed.ncbi.nlm.nih.gov/42554792/</w:t>
      </w:r>
    </w:p>
    <w:p>
      <w:pPr>
        <w:pStyle w:val="Heading2"/>
      </w:pPr>
      <w:r>
        <w:t>Proteinzufuhr und Sarkopenische Adipositas bei älteren Erwachsenen: EPIC-Norfolk-Kohorte</w:t>
      </w:r>
    </w:p>
    <w:p>
      <w:r>
        <w:rPr>
          <w:i/>
          <w:color w:val="666666"/>
          <w:sz w:val="18"/>
        </w:rPr>
        <w:t>Baabbad T et al.  ·  Public Health Nutr  ·  31.07.2026  ·  PMID 42535295</w:t>
      </w:r>
    </w:p>
    <w:p>
      <w:r>
        <w:t>Eine prospektive Analyse der EPIC-Norfolk-Kohorte untersuchte Assoziationen zwischen Proteinzufuhr (Gesamtmenge und Quelle) und der Prävalenz sarkopenischer Adipositas bei 14.816 Personen mittleren und höheren Alters.</w:t>
      </w:r>
    </w:p>
    <w:p>
      <w:r>
        <w:rPr>
          <w:b/>
        </w:rPr>
        <w:t xml:space="preserve">Ergebnis: </w:t>
      </w:r>
      <w:r>
        <w:t>Prävalenz sarkopenischer Adipositas: 8,9% Männer, 11,9% Frauen. Mediane Proteinzufuhr war signifikant niedriger bei sarkopenischer Adipositas (Gesamt: 0,80 vs. 1,04 g/kg KG/d, p&lt;0,001; tierisch: 0,51 vs. 0,66, p&lt;0,001; pflanzlich: 0,25 vs. 0,35, p&lt;0,001). Höhere Zufuhr war mit niedrigerem Risiko assoziiert (Gesamtprotein: OR 0,14 [95% CI 0,08-0,20]; tierisch: OR 0,58 [0,53-0,62]; pflanzlich: OR 0,46 [0,41-0,52], alle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bevölkerungsgestützter Querschnitt; funktionelle Körperkomposition statt BMI als Zielgröße.</w:t>
      </w:r>
    </w:p>
    <w:p>
      <w:r>
        <w:rPr>
          <w:color w:val="5A7D3A"/>
          <w:sz w:val="18"/>
        </w:rPr>
        <w:t>https://pubmed.ncbi.nlm.nih.gov/42535295/</w:t>
      </w:r>
    </w:p>
    <w:p>
      <w:pPr>
        <w:pStyle w:val="Heading2"/>
      </w:pPr>
      <w:r>
        <w:t>Adipositaschirurgie zur Prävention kardiovaskulärer Ereignisse: BRAVE-Studie mit ersten Ergebnissen</w:t>
      </w:r>
    </w:p>
    <w:p>
      <w:r>
        <w:rPr>
          <w:i/>
          <w:color w:val="666666"/>
          <w:sz w:val="18"/>
        </w:rPr>
        <w:t>Wong JA et al.  ·  Am Heart J  ·  25.07.2026  ·  PMID 42501951</w:t>
      </w:r>
    </w:p>
    <w:p>
      <w:r>
        <w:t>Die BRAVE-Studie randomisiert Patienten mit Adipositas und etablierter kardiovaskulärer Erkrankung zwischen Adipositaschirurgie (Sleeve, RYGB, duodenaler Switch) und strukturierter medizinischer Gewichtsreduktion; Vanguard-Phase zeigt Machbarkeit.</w:t>
      </w:r>
    </w:p>
    <w:p>
      <w:r>
        <w:rPr>
          <w:b/>
        </w:rPr>
        <w:t xml:space="preserve">Ergebnis: </w:t>
      </w:r>
      <w:r>
        <w:t>Von 2.514 gescreenten Patienten wurden 200 randomisiert (Mittelalter 59,8 Jahre; 37% Frauen; mittlerer BMI 44 kg/m²). Kohorte trägt hohe kardiovaskuläre Last: 82% Hypertonie, 45% Diabetes, 44% koronare Herzkrankheit, 39% Herzinsuffizienz, 48% Vorhofflimmern. Rekrutierungsbarrieren wurden identifiziert und durch gezielte Schulung behoben.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Brasilien, Italien, Spanien; multinationales Design mit vergleichbaren Gesundheitssystemen.</w:t>
      </w:r>
    </w:p>
    <w:p>
      <w:r>
        <w:rPr>
          <w:color w:val="5A7D3A"/>
          <w:sz w:val="18"/>
        </w:rPr>
        <w:t>https://pubmed.ncbi.nlm.nih.gov/42501951/</w:t>
      </w:r>
    </w:p>
    <w:p>
      <w:pPr>
        <w:pStyle w:val="Heading2"/>
      </w:pPr>
      <w:r>
        <w:t>Kosteneffektivität endoskopischer Adipositastherapien gegenüber Chirurgie und Semaglutid: UK-Analyse</w:t>
      </w:r>
    </w:p>
    <w:p>
      <w:r>
        <w:rPr>
          <w:i/>
          <w:color w:val="666666"/>
          <w:sz w:val="18"/>
        </w:rPr>
        <w:t>Afentou N et al.  ·  Obes Surg  ·  22.07.2026  ·  PMID 42484827</w:t>
      </w:r>
    </w:p>
    <w:p>
      <w:r>
        <w:t>Eine gesundheitsökonomische Analyse mit Markov-Modellen verglich Kosteneffektivität endoskopischer Barrieremethoden (Sleeve-Gastroplastie, Magenballon) mit laparoskopischer Sleeve-Gastrektomie und Semaglutid über 5 Jahre aus UK-NHS-Perspektive.</w:t>
      </w:r>
    </w:p>
    <w:p>
      <w:r>
        <w:rPr>
          <w:b/>
        </w:rPr>
        <w:t xml:space="preserve">Ergebnis: </w:t>
      </w:r>
      <w:r>
        <w:t>Bei Adipositas Klasse II–III war LSG kosteneffektiv gegenüber ESG (£10.593/QALY). Bei Klasse I–II zeigte ESG marginale QALY-Vorteile gegenüber Semaglutid bei leicht höheren Kosten (ICER £7.267/QALY). Semaglutid war dominant gegenüber IGB (größerer Nutzen zu niedrigerem Preis). Sensitivitätsanalysen zeigten Abhängigkeit von Interventionskosten und Langzeit-Gewichtsverlauf.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NHS-Perspektive; vergleichbar mit deutschen Kostenübernahmebedingungen für Verfahren.</w:t>
      </w:r>
    </w:p>
    <w:p>
      <w:r>
        <w:rPr>
          <w:color w:val="5A7D3A"/>
          <w:sz w:val="18"/>
        </w:rPr>
        <w:t>https://pubmed.ncbi.nlm.nih.gov/42484827/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