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11.09.2026  |  115 Studien  |  adipositas.m-vf.de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Adipositasprävention im Kindesalter: Strategische Lücken in spanischen Gesundheitsplänen</w:t>
      </w:r>
    </w:p>
    <w:p>
      <w:r>
        <w:rPr>
          <w:i/>
          <w:color w:val="666666"/>
          <w:sz w:val="18"/>
        </w:rPr>
        <w:t>Rondón Martínez E et al.  ·  Rev Esp Salud Publica  ·  09.09.2026  ·  PMID 42719940</w:t>
      </w:r>
    </w:p>
    <w:p>
      <w:r>
        <w:t>Eine Scoping Review untersuchte, wie die Adipositasprävention bei Kindern in spanischen nationalen und regionalen Gesundheitsplänen verankert ist.</w:t>
      </w:r>
    </w:p>
    <w:p>
      <w:r>
        <w:rPr>
          <w:b/>
        </w:rPr>
        <w:t xml:space="preserve">Ergebnis: </w:t>
      </w:r>
      <w:r>
        <w:t>Von 22 analysierten Plänen enthielten nur 9 regionale Ziele zur Adipositasprävention bei Kindern, davon nur eine quantifiziert; Programme und konkrete Aktivitäten waren in der Mehrzahl (n=8) nicht definiert. Die Umsetzung bleibt fragmentarisch und ohne messbare Vorgaben.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öffentliches Gesundheitssystem; Strukturlücken übertragbar auf deutschsprachige Länder.</w:t>
      </w:r>
    </w:p>
    <w:p>
      <w:r>
        <w:rPr>
          <w:color w:val="5A7D3A"/>
          <w:sz w:val="18"/>
        </w:rPr>
        <w:t>https://pubmed.ncbi.nlm.nih.gov/42719940/</w:t>
      </w:r>
    </w:p>
    <w:p>
      <w:pPr>
        <w:pStyle w:val="Heading2"/>
      </w:pPr>
      <w:r>
        <w:t>GLP-1-Agonisten nach Adipositaschirurgie bei unzureichendem Erfolg: Metaanalyse</w:t>
      </w:r>
    </w:p>
    <w:p>
      <w:r>
        <w:rPr>
          <w:i/>
          <w:color w:val="666666"/>
          <w:sz w:val="18"/>
        </w:rPr>
        <w:t>Santos-Pereira M et al.  ·  Front Endocrinol (Lausanne)  ·  26.08.2026  ·  PMID 42718598</w:t>
      </w:r>
    </w:p>
    <w:p>
      <w:r>
        <w:t>Eine systematische Übersicht und Metaanalyse (27 Studien, 19 in die Metaanalyse) untersuchte Wirksamkeit und Sicherheit von Liraglutid, Semaglutid und Tirzepatid bei Patienten, die ≥1 Jahr nach bariatrischen Eingriffen unzureichenden Gewichtsverlust oder Wiederzunahme aufwiesen.</w:t>
      </w:r>
    </w:p>
    <w:p>
      <w:r>
        <w:rPr>
          <w:b/>
        </w:rPr>
        <w:t xml:space="preserve">Ergebnis: </w:t>
      </w:r>
      <w:r>
        <w:t>Nach GLP-1-Agonisten-Therapie: Gewichtsverlust mit Liraglutid 9,22% (12 Monate) und Semaglutid 9,02% (12 Monate). Tirzepatid zeigte 4,23% zusätzlichen Gewichtsverlust gegenüber Semaglutid (6 Monate). Keine ernsthaften Nebenwirkungen; berichtete Effekte waren primär leichte gastrointestinale Symptome. Die substantielle Heterogenität der Studien erfordert Vorsicht bei der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Übersichtsarbeit mit internationalem Pool; GLP-1-Einsatz nach Chirurgie als Rescuetherapie transferierbar.</w:t>
      </w:r>
    </w:p>
    <w:p>
      <w:r>
        <w:rPr>
          <w:color w:val="5A7D3A"/>
          <w:sz w:val="18"/>
        </w:rPr>
        <w:t>https://pubmed.ncbi.nlm.nih.gov/42718598/</w:t>
      </w:r>
    </w:p>
    <w:p>
      <w:pPr>
        <w:pStyle w:val="Heading2"/>
      </w:pPr>
      <w:r>
        <w:t>Menstruationsfunktion und Fertilität nach metabolischer Adipositaschirurgie bei Frauen im reproduktiven Alter</w:t>
      </w:r>
    </w:p>
    <w:p>
      <w:r>
        <w:rPr>
          <w:i/>
          <w:color w:val="666666"/>
          <w:sz w:val="18"/>
        </w:rPr>
        <w:t>Whyte M et al.  ·  Obes Surg  ·  05.08.2026  ·  PMID 42554792</w:t>
      </w:r>
    </w:p>
    <w:p>
      <w:r>
        <w:t>Eine prospektive Kohortenstudie untersuchte Veränderungen in Menstruationsfunktion, Hormonprofilen und Fertilitätsparametern bei Frauen im reproduktiven Alter vor und nach Bypass oder Sleeve im Vergleich zu Kontrollen mit konservativer Gewichtsabnahme.</w:t>
      </w:r>
    </w:p>
    <w:p>
      <w:r>
        <w:rPr>
          <w:b/>
        </w:rPr>
        <w:t xml:space="preserve">Ergebnis: </w:t>
      </w:r>
      <w:r>
        <w:t>84 chirurgisch behandelte Frauen; 64-73% Excess-Weight-Loss bei 24 Monaten. Anti-Müller-Hormon sank (16,6 auf 16,0 pmol/L, p&lt;0,001); Sex-Hormon-Bindungs-Globulin stieg (30,6 auf 66,8 nmol/L, p&lt;0,001); freier Androgenindex sank (3,92 auf 1,84, p&lt;0,001). Unregelmäßige Menstruation und Hirsutismus nahmen ab. Polyzystische Ovarienstruktur reduzierte sich von 33% auf 10% (n=17). 20 Schwangerschaften traten auf, überwiegend 12-24 Monate postoperativ.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nationales Gesundheitssystem; Reproduktionsgesundheit als langfristiges Outcome über die Gewichtskurve hinaus.</w:t>
      </w:r>
    </w:p>
    <w:p>
      <w:r>
        <w:rPr>
          <w:color w:val="5A7D3A"/>
          <w:sz w:val="18"/>
        </w:rPr>
        <w:t>https://pubmed.ncbi.nlm.nih.gov/42554792/</w:t>
      </w:r>
    </w:p>
    <w:p>
      <w:pPr>
        <w:pStyle w:val="Heading2"/>
      </w:pPr>
      <w:r>
        <w:t>Proteinzufuhr und Sarkopenische Adipositas bei älteren Erwachsenen: EPIC-Norfolk-Kohorte</w:t>
      </w:r>
    </w:p>
    <w:p>
      <w:r>
        <w:rPr>
          <w:i/>
          <w:color w:val="666666"/>
          <w:sz w:val="18"/>
        </w:rPr>
        <w:t>Baabbad T et al.  ·  Public Health Nutr  ·  31.07.2026  ·  PMID 42535295</w:t>
      </w:r>
    </w:p>
    <w:p>
      <w:r>
        <w:t>Eine prospektive Analyse der EPIC-Norfolk-Kohorte untersuchte Assoziationen zwischen Proteinzufuhr (Gesamtmenge und Quelle) und der Prävalenz sarkopenischer Adipositas bei 14.816 Personen mittleren und höheren Alters.</w:t>
      </w:r>
    </w:p>
    <w:p>
      <w:r>
        <w:rPr>
          <w:b/>
        </w:rPr>
        <w:t xml:space="preserve">Ergebnis: </w:t>
      </w:r>
      <w:r>
        <w:t>Prävalenz sarkopenischer Adipositas: 8,9% Männer, 11,9% Frauen. Mediane Proteinzufuhr war signifikant niedriger bei sarkopenischer Adipositas (Gesamt: 0,80 vs. 1,04 g/kg KG/d, p&lt;0,001; tierisch: 0,51 vs. 0,66, p&lt;0,001; pflanzlich: 0,25 vs. 0,35, p&lt;0,001). Höhere Zufuhr war mit niedrigerem Risiko assoziiert (Gesamtprotein: OR 0,14 [95% CI 0,08-0,20]; tierisch: OR 0,58 [0,53-0,62]; pflanzlich: OR 0,46 [0,41-0,52], 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bevölkerungsgestützter Querschnitt; funktionelle Körperkomposition statt BMI als Zielgröße.</w:t>
      </w:r>
    </w:p>
    <w:p>
      <w:r>
        <w:rPr>
          <w:color w:val="5A7D3A"/>
          <w:sz w:val="18"/>
        </w:rPr>
        <w:t>https://pubmed.ncbi.nlm.nih.gov/42535295/</w:t>
      </w:r>
    </w:p>
    <w:p>
      <w:pPr>
        <w:pStyle w:val="Heading2"/>
      </w:pPr>
      <w:r>
        <w:t>Adipositaschirurgie zur Prävention kardiovaskulärer Ereignisse: BRAVE-Studie mit ersten Ergebnissen</w:t>
      </w:r>
    </w:p>
    <w:p>
      <w:r>
        <w:rPr>
          <w:i/>
          <w:color w:val="666666"/>
          <w:sz w:val="18"/>
        </w:rPr>
        <w:t>Wong JA et al.  ·  Am Heart J  ·  25.07.2026  ·  PMID 42501951</w:t>
      </w:r>
    </w:p>
    <w:p>
      <w:r>
        <w:t>Die BRAVE-Studie randomisiert Patienten mit Adipositas und etablierter kardiovaskulärer Erkrankung zwischen Adipositaschirurgie (Sleeve, RYGB, duodenaler Switch) und strukturierter medizinischer Gewichtsreduktion; Vanguard-Phase zeigt Machbarkeit.</w:t>
      </w:r>
    </w:p>
    <w:p>
      <w:r>
        <w:rPr>
          <w:b/>
        </w:rPr>
        <w:t xml:space="preserve">Ergebnis: </w:t>
      </w:r>
      <w:r>
        <w:t>Von 2.514 gescreenten Patienten wurden 200 randomisiert (Mittelalter 59,8 Jahre; 37% Frauen; mittlerer BMI 44 kg/m²). Kohorte trägt hohe kardiovaskuläre Last: 82% Hypertonie, 45% Diabetes, 44% koronare Herzkrankheit, 39% Herzinsuffizienz, 48% Vorhofflimmern. Rekrutierungsbarrieren wurden identifiziert und durch gezielte Schulung behoben.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Brasilien, Italien, Spanien; multinationales Design mit vergleichbaren Gesundheitssystemen.</w:t>
      </w:r>
    </w:p>
    <w:p>
      <w:r>
        <w:rPr>
          <w:color w:val="5A7D3A"/>
          <w:sz w:val="18"/>
        </w:rPr>
        <w:t>https://pubmed.ncbi.nlm.nih.gov/42501951/</w:t>
      </w:r>
    </w:p>
    <w:p>
      <w:pPr>
        <w:pStyle w:val="Heading2"/>
      </w:pPr>
      <w:r>
        <w:t>Kosteneffektivität endoskopischer Adipositastherapien gegenüber Chirurgie und Semaglutid: UK-Analyse</w:t>
      </w:r>
    </w:p>
    <w:p>
      <w:r>
        <w:rPr>
          <w:i/>
          <w:color w:val="666666"/>
          <w:sz w:val="18"/>
        </w:rPr>
        <w:t>Afentou N et al.  ·  Obes Surg  ·  22.07.2026  ·  PMID 42484827</w:t>
      </w:r>
    </w:p>
    <w:p>
      <w:r>
        <w:t>Eine gesundheitsökonomische Analyse mit Markov-Modellen verglich Kosteneffektivität endoskopischer Barrieremethoden (Sleeve-Gastroplastie, Magenballon) mit laparoskopischer Sleeve-Gastrektomie und Semaglutid über 5 Jahre aus UK-NHS-Perspektive.</w:t>
      </w:r>
    </w:p>
    <w:p>
      <w:r>
        <w:rPr>
          <w:b/>
        </w:rPr>
        <w:t xml:space="preserve">Ergebnis: </w:t>
      </w:r>
      <w:r>
        <w:t>Bei Adipositas Klasse II–III war LSG kosteneffektiv gegenüber ESG (£10.593/QALY). Bei Klasse I–II zeigte ESG marginale QALY-Vorteile gegenüber Semaglutid bei leicht höheren Kosten (ICER £7.267/QALY). Semaglutid war dominant gegenüber IGB (größerer Nutzen zu niedrigerem Preis). Sensitivitätsanalysen zeigten Abhängigkeit von Interventionskosten und Langzeit-Gewichtsverlauf.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NHS-Perspektive; vergleichbar mit deutschen Kostenübernahmebedingungen für Verfahren.</w:t>
      </w:r>
    </w:p>
    <w:p>
      <w:r>
        <w:rPr>
          <w:color w:val="5A7D3A"/>
          <w:sz w:val="18"/>
        </w:rPr>
        <w:t>https://pubmed.ncbi.nlm.nih.gov/42484827/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Kombiniertes Aerob- und Krafttraining senkt Blutzucker und Lipide bei Diabesity optimal</w:t>
      </w:r>
    </w:p>
    <w:p>
      <w:r>
        <w:rPr>
          <w:i/>
          <w:color w:val="666666"/>
          <w:sz w:val="18"/>
        </w:rPr>
        <w:t>Al-Mhanna SB et al.  ·  J Sports Sci Med  ·  01.09.2026  ·  PMID 42713583</w:t>
      </w:r>
    </w:p>
    <w:p>
      <w:r>
        <w:t>Netzwerk-Metaanalyse von 32 RCTs (n=1.519 Patienten mit Typ-2-Diabetes und Adipositas) zum Vergleich von Trainingsmodalitäten auf Stoffwechselparameter und Körperkomposition.</w:t>
      </w:r>
    </w:p>
    <w:p>
      <w:r>
        <w:rPr>
          <w:b/>
        </w:rPr>
        <w:t xml:space="preserve">Ergebnis: </w:t>
      </w:r>
      <w:r>
        <w:t>Kombiniertes Aerob- und Krafttraining zeigte beste Ergebnisse für BMI-Reduktion (MD −1,78; SUCRA 93%), Triglyzeride (TG MD −0,28; SUCRA 95%), Gesamt-Cholesterin (TC MD −0,36; SUCRA 94,2%) und HOMA-IR (MD −0,92; SUCRA 92,6%). HDL stieg am stärksten (MD +0,12; SUCRA 97,5%). Aerobtraining allein senkte Nüchternblutzucker besser (MD −0,89 mmol/L), erhöhte aber Körperfett und senkte fettfreie Masse stärker als Krafttraining.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Evidenzsynthese internationale RCTs, Versorgungsrealität Deutschland vergleichbar</w:t>
      </w:r>
    </w:p>
    <w:p>
      <w:r>
        <w:rPr>
          <w:color w:val="5A7D3A"/>
          <w:sz w:val="18"/>
        </w:rPr>
        <w:t>https://pubmed.ncbi.nlm.nih.gov/42713583/</w:t>
      </w:r>
    </w:p>
    <w:p>
      <w:pPr>
        <w:pStyle w:val="Heading2"/>
      </w:pPr>
      <w:r>
        <w:t>Psychosoziale Faktoren beeinflussen Adipositas bei russischen Jugendlichen stärker als früher erwartet</w:t>
      </w:r>
    </w:p>
    <w:p>
      <w:r>
        <w:rPr>
          <w:i/>
          <w:color w:val="666666"/>
          <w:sz w:val="18"/>
        </w:rPr>
        <w:t>Khafizova AA et al.  ·  Am J Hum Biol  ·  Sept. 2026  ·  PMID 42669599</w:t>
      </w:r>
    </w:p>
    <w:p>
      <w:r>
        <w:t>Querschnittstudie russischer Hochschulstudierender (n=1.759, 17–25 Jahre) aus vier Städten zur Rolle von Sozioökonomie, Psyche und Umweltfaktoren auf BMI und zentrale Adipositas (Waist-to-Height-Ratio).</w:t>
      </w:r>
    </w:p>
    <w:p>
      <w:r>
        <w:rPr>
          <w:b/>
        </w:rPr>
        <w:t xml:space="preserve">Ergebnis: </w:t>
      </w:r>
      <w:r>
        <w:t>Angstsymptome waren in Moskau und Petrozavodsk mit Körpergewicht assoziiert; bei Männern aus Krasnodar zeigten sich Assoziationen mit mütterlicher Bildung und Familiengröße. Während makroökonomische Stabilität zunahm, schwächten sich sozioökonomische Effekte auf Anthropometrie ab, während psychosoziale Faktoren an Bedeutung gewannen (p&lt;0,05 für Trait-Angst).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andere Sozialversicherung; psychosoziale Determinanten gelten über Systeme hinweg</w:t>
      </w:r>
    </w:p>
    <w:p>
      <w:r>
        <w:rPr>
          <w:color w:val="5A7D3A"/>
          <w:sz w:val="18"/>
        </w:rPr>
        <w:t>https://pubmed.ncbi.nlm.nih.gov/42669599/</w:t>
      </w:r>
    </w:p>
    <w:p>
      <w:pPr>
        <w:pStyle w:val="Heading2"/>
      </w:pPr>
      <w:r>
        <w:t>Sarkopenische Adipositas erhöht Typ-2-Diabetes-Risiko deutlich über Adipositas allein</w:t>
      </w:r>
    </w:p>
    <w:p>
      <w:r>
        <w:rPr>
          <w:i/>
          <w:color w:val="666666"/>
          <w:sz w:val="18"/>
        </w:rPr>
        <w:t>Guan Z et al.  ·  Diabetes Care  ·  01.09.2026  ·  PMID 42439362</w:t>
      </w:r>
    </w:p>
    <w:p>
      <w:r>
        <w:t>UK-Biobank-Kohortenstudie (n=479.607) zur Assoziation von sarkopenischer Adipositas (geringe Muskelkraft + niedriger Muskelmasseanteil + hoher Fettmasseanteil) mit Typ-2-Diabetes über medianen Follow-up von 14,2 Jahren.</w:t>
      </w:r>
    </w:p>
    <w:p>
      <w:r>
        <w:rPr>
          <w:b/>
        </w:rPr>
        <w:t xml:space="preserve">Ergebnis: </w:t>
      </w:r>
      <w:r>
        <w:t>Bei 32.948 Diabetes-Fällen zeigte sarkopenische Adipositas das höchste Risiko (HR 3,54; 95% KI 3,34–3,74), deutlich höher als Adipositas allein oder Sarcopenie allein. Transitionen zu sarkopenischer Adipositas (HR 2,90) und persistierende sarkopenische Adipositas (HR 3,07) erhöhten das Risiko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Gesundheitssystem, große Routinedatenbank mit Muskelkraftmessung</w:t>
      </w:r>
    </w:p>
    <w:p>
      <w:r>
        <w:rPr>
          <w:color w:val="5A7D3A"/>
          <w:sz w:val="18"/>
        </w:rPr>
        <w:t>https://pubmed.ncbi.nlm.nih.gov/42439362/</w:t>
      </w:r>
    </w:p>
    <w:p>
      <w:pPr>
        <w:pStyle w:val="Heading2"/>
      </w:pPr>
      <w:r>
        <w:t>Frühe Anastomosenlecks nach Adipositaschirurgie kosten pro Fall €40.000–€42.000</w:t>
      </w:r>
    </w:p>
    <w:p>
      <w:r>
        <w:rPr>
          <w:i/>
          <w:color w:val="666666"/>
          <w:sz w:val="18"/>
        </w:rPr>
        <w:t>Balibrea JM et al.  ·  Br J Surg  ·  02.07.2026  ·  PMID 42435065</w:t>
      </w:r>
    </w:p>
    <w:p>
      <w:r>
        <w:t>Spanische Kostenanalyse von Frühkomplikationen (lecks) nach laparoskopischer Sleeve-Gastrektomie (LSG, n=82 Fälle/Jahr) und Roux-en-Y-Bypass (RYGB, n=18 Fälle/Jahr) im nationalen Gesundheitssystem über 1 Jahr (Gesamtbudget €4,2 Mio.).</w:t>
      </w:r>
    </w:p>
    <w:p>
      <w:r>
        <w:rPr>
          <w:b/>
        </w:rPr>
        <w:t xml:space="preserve">Ergebnis: </w:t>
      </w:r>
      <w:r>
        <w:t>Durchschnittliche Kosten pro frühem Leak: LSG €42.285 (Spanne €13.358–€94.532), RYGB €40.971 (€13.110–€94.284). Gesamtbudgetauswirkung für beide Verfahren €4,2 Mio./Jahr, dominiert durch verlängerte Krankenhausaufenthalte und Interventionen. Sensitivitätsanalyse: €1,2–€7,2 Mio.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Spanischer NHS, vergleichbare Dokumentation und Kostenstrukturen zu Deutschland</w:t>
      </w:r>
    </w:p>
    <w:p>
      <w:r>
        <w:rPr>
          <w:color w:val="5A7D3A"/>
          <w:sz w:val="18"/>
        </w:rPr>
        <w:t>https://pubmed.ncbi.nlm.nih.gov/42435065/</w:t>
      </w:r>
    </w:p>
    <w:p>
      <w:pPr>
        <w:pStyle w:val="Heading2"/>
      </w:pPr>
      <w:r>
        <w:t>Sozioökonomie und Therapieerfolg bei Adipositas im Kindesalter: Deutschland und Schweden</w:t>
      </w:r>
    </w:p>
    <w:p>
      <w:r>
        <w:rPr>
          <w:i/>
          <w:color w:val="666666"/>
          <w:sz w:val="18"/>
        </w:rPr>
        <w:t>Auzanneau M et al.  ·  PLoS Med  ·  09.07.2026  ·  PMID 42424383</w:t>
      </w:r>
    </w:p>
    <w:p>
      <w:r>
        <w:t>Zwei-Länder-Kohortenvergleich (n=31.293 Kinder mit mindestens 6 Monaten Verhaltenstherapie) zum Einfluss des sozioökonomischen Status (SES) auf die Gewichtsabnahme und Therapieabbruch in strukturierten Adipositas-Behandlungsprogrammen.</w:t>
      </w:r>
    </w:p>
    <w:p>
      <w:r>
        <w:rPr>
          <w:b/>
        </w:rPr>
        <w:t xml:space="preserve">Ergebnis: </w:t>
      </w:r>
      <w:r>
        <w:t>In Deutschland zeigte höherer SES bessere BMI-SDS-Reduktion nach 2 Jahren (−0,36 vs. −0,24 für höchste vs. niedrigste Quintile, Differenz −0,12; p&lt;0,001) und niedrigere Abbruchquote (OR 0,82; p&lt;0,001); in Schweden war SES für BMI-Reduktion nicht assoziiert (p=0,143), aber Remissionschancen waren in beiden Ländern mit höherem SES erhöht (Schweden RR 1,63; Deutschland RR 1,35; beide p&lt;0,001). Ungleichheit in Therapieergebnissen ist in Deutschland ausgeprägter.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Schweden, vergleichbare Versicherungssysteme, strukturierte Adipositas-Programme</w:t>
      </w:r>
    </w:p>
    <w:p>
      <w:r>
        <w:rPr>
          <w:color w:val="5A7D3A"/>
          <w:sz w:val="18"/>
        </w:rPr>
        <w:t>https://pubmed.ncbi.nlm.nih.gov/42424383/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Übergewicht bei Kindern in Navarra rückläufig, Adipositas stabil</w:t>
      </w:r>
    </w:p>
    <w:p>
      <w:r>
        <w:rPr>
          <w:i/>
          <w:color w:val="666666"/>
          <w:sz w:val="18"/>
        </w:rPr>
        <w:t>Ciriza Barea E et al.  ·  Rev Esp Salud Publica  ·  04.09.2026  ·  PMID 42708817</w:t>
      </w:r>
    </w:p>
    <w:p>
      <w:r>
        <w:t>Bevölkerungsgestützte Überwachungsstudie zur Prävalenzentwicklung von Übergewicht und Adipositas bei Kindern und Jugendlichen in Nordspanien 2007–2023.</w:t>
      </w:r>
    </w:p>
    <w:p>
      <w:r>
        <w:rPr>
          <w:b/>
        </w:rPr>
        <w:t xml:space="preserve">Ergebnis: </w:t>
      </w:r>
      <w:r>
        <w:t>Übergewicht sank signifikant um über 5 Prozentpunkte in Jungen (21,8 % auf 16,5 % im Alter 6–9 Jahre) und weniger ausgeprägt in Mädchen (23 % auf 18,2 %). Adipositas blieb hingegen stabil bei etwa 10–12 % oder stieg (Mädchen 10–14 Jahre: 6,9 % auf 7,8 %). Die Befunde zeigen Divergenz zwischen Übergewichts- und Adipositas-Trend.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Primärversorgungsdaten mit hoher Bevölkerungsabdeckung (93 %), ähnliche Prävention wie Deutschland.</w:t>
      </w:r>
    </w:p>
    <w:p>
      <w:r>
        <w:rPr>
          <w:color w:val="5A7D3A"/>
          <w:sz w:val="18"/>
        </w:rPr>
        <w:t>https://pubmed.ncbi.nlm.nih.gov/42708817/</w:t>
      </w:r>
    </w:p>
    <w:p>
      <w:pPr>
        <w:pStyle w:val="Heading2"/>
      </w:pPr>
      <w:r>
        <w:t>Kinderadipositas und Armut: Jungen und sozial Schwache stärker betroffen</w:t>
      </w:r>
    </w:p>
    <w:p>
      <w:r>
        <w:rPr>
          <w:i/>
          <w:color w:val="666666"/>
          <w:sz w:val="18"/>
        </w:rPr>
        <w:t>Pichiule-Castañeda M et al.  ·  Rev Esp Salud Publica  ·  07.09.2026  ·  PMID 42708243</w:t>
      </w:r>
    </w:p>
    <w:p>
      <w:r>
        <w:t>Longitudinale Kohortenstudie zu sozioökonomischen Determinanten der Adipositas bei 2.124 Kindern in Madrid, Messung alle 3 Jahre von Alter 4–6 bis 14 Jahren (2012–2024).</w:t>
      </w:r>
    </w:p>
    <w:p>
      <w:r>
        <w:rPr>
          <w:b/>
        </w:rPr>
        <w:t xml:space="preserve">Ergebnis: </w:t>
      </w:r>
      <w:r>
        <w:t>Gesamtadipositasprävalenz in mindestens einer Messung 20,1 % (95%-KI 18,4–21,8). Adipositas assoziiert mit männlichem Geschlecht (RPa 1,40; 95%-KI 1,17–1,68) und niedriger Familienwohlfahrt (RPa 1,36; 95%-KI 1,03–1,80). Sozioökonomische Unterschiede bestätigt und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Longitudinaldaten zur Ungleichheit; ähnliche Sozialsysteme wie Deutschland.</w:t>
      </w:r>
    </w:p>
    <w:p>
      <w:r>
        <w:rPr>
          <w:color w:val="5A7D3A"/>
          <w:sz w:val="18"/>
        </w:rPr>
        <w:t>https://pubmed.ncbi.nlm.nih.gov/42708243/</w:t>
      </w:r>
    </w:p>
    <w:p>
      <w:pPr>
        <w:pStyle w:val="Heading2"/>
      </w:pPr>
      <w:r>
        <w:t>Notfallkomplikationen nach Adipositaschirurgie in Not-Aufnahmezentren häufig und schwer</w:t>
      </w:r>
    </w:p>
    <w:p>
      <w:r>
        <w:rPr>
          <w:i/>
          <w:color w:val="666666"/>
          <w:sz w:val="18"/>
        </w:rPr>
        <w:t>Boșneagu RD et al.  ·  Chirurgia (Bucur)  ·  Juli 2026  ·  PMID 42703978</w:t>
      </w:r>
    </w:p>
    <w:p>
      <w:r>
        <w:t>Retrospektive deskriptive Fallsammlung: 45 Notfall- oder Halbnotfall-Vorstellungen nach Adipositaschirurgie (durchgeführt anderswo) an regionälem Zentrum ohne bariatrische Eigenkompetenz, März 2021–Mai 2025.</w:t>
      </w:r>
    </w:p>
    <w:p>
      <w:r>
        <w:rPr>
          <w:b/>
        </w:rPr>
        <w:t xml:space="preserve">Ergebnis: </w:t>
      </w:r>
      <w:r>
        <w:t>73 % Frauen, Median-BMI 36 kg/m², 84 % Sleeve-Gastrektomie. Spektrum: Gallenblasen-/Pankreas-Erkrankung 27 %, Fistel/Leck 16 %, Stenose 22 %, Obstruktion 16 %. 80 % invasive Behandlung, 20 % Intensivcare, 24 % schwerer Verlauf, 16 % High-Acuity-Definition, 1 Todesfall (2,2 %).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Sekundär-Datensammlung; zeigt Koordinationsmangel ähnlich Deutschland mit dezentralen Kliniken.</w:t>
      </w:r>
    </w:p>
    <w:p>
      <w:r>
        <w:rPr>
          <w:color w:val="5A7D3A"/>
          <w:sz w:val="18"/>
        </w:rPr>
        <w:t>https://pubmed.ncbi.nlm.nih.gov/42703978/</w:t>
      </w:r>
    </w:p>
    <w:p>
      <w:pPr>
        <w:pStyle w:val="Heading2"/>
      </w:pPr>
      <w:r>
        <w:t>Semaglutide reduziert Nierenkomplikationen bei kardio-metabolischer Erkrankung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 Phase-3-RCTs (SELECT, FLOW, SOUL) mit N = 30.787 Teilnehmern zu Nieren-Outcomes unter Semaglutide vs. Placebo, Follow-up 39,5–47,5 Monate.</w:t>
      </w:r>
    </w:p>
    <w:p>
      <w:r>
        <w:rPr>
          <w:b/>
        </w:rPr>
        <w:t xml:space="preserve">Ergebnis: </w:t>
      </w:r>
      <w:r>
        <w:t>Semaglutide reduzierte primäre Nierenkompositum (≥50 % eGFR-Fall, Nierenversagen, nierenbezogener Tod oder kardiovaskulärer Tod): 973 vs. 1.134 Ereignisse; HR 0,84 (95%-KI 0,77–0,91). Nebenwirkungen insgesamt ähnlich oder numerisch niedriger mit Semaglutide.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USA-getriebene Zulassungsstudie, aber Nierenschutz-Befund länderneutral; in Deutschland SGB-V-Ausschluss relevant.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Adipositas-induzierte Indizes vorhersagen Multimorbidität kardio-renal-metabolisch besser als BMI allein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Retrospektive Kohortenanalysе aus UK Biobank (N = 374.513) und CHARLS (China, N = 6.401) zu C-reaktives-Protein-Triglyzerid-Glukose-Index (CTI) und 5 Adipositas-Derivaten für Vorhersage kardio-renal-metabolischer Multimorbidität.</w:t>
      </w:r>
    </w:p>
    <w:p>
      <w:r>
        <w:rPr>
          <w:b/>
        </w:rPr>
        <w:t xml:space="preserve">Ergebnis: </w:t>
      </w:r>
      <w:r>
        <w:t>Über 15,98 Jahre folgten 13.315 CRMM-Fälle. CTI-WC zeigte stärkste Assoziation (HR 1,974, 95%-KI 1,943–2,007), gefolgt von CTI-WHtR (HR 1,919, 95%-KI 1,890–1,950). NRI 21,16–23,93 %, IDI 1,05–1,51 %, ΔC-Index 0,029–0,038 – Verbesserung der Risikostratifikation über klassische Maße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(hohe Transferenz) mit Validierung in China; Adipositas-Phänotypisierung für deutsche Risikovorhersage relevant.</w:t>
      </w:r>
    </w:p>
    <w:p>
      <w:r>
        <w:rPr>
          <w:color w:val="5A7D3A"/>
          <w:sz w:val="18"/>
        </w:rPr>
        <w:t>https://pubmed.ncbi.nlm.nih.gov/42542252/</w:t>
      </w:r>
    </w:p>
    <w:p>
      <w:pPr>
        <w:pStyle w:val="Heading2"/>
      </w:pPr>
      <w:r>
        <w:t>Beinmuskulatur schützt vor Diabetes, Bauchfett erhöht Risiko – Geschlechtsspezifische Unterschiede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Querschnitts- und prospektive Kohortenstudie an 258.500 UK-Biobank-Teilnehmern; Körperkompositions-Muster aus 28 anthropometrischen und bildgebenden Merkmalen mittels Hauptkomponentenanalyse.</w:t>
      </w:r>
    </w:p>
    <w:p>
      <w:r>
        <w:rPr>
          <w:b/>
        </w:rPr>
        <w:t xml:space="preserve">Ergebnis: </w:t>
      </w:r>
      <w:r>
        <w:t>7 interpretierbare Muster identifiziert. Generalisierte Adiposität erhöhte T2D-Risiko (Männer HR 1,73, 95%-KI 1,33–2,24; Frauen HR 2,21, 95%-KI 1,55–3,16). Bein-dominante Magermasse senkte Risiko (Männer HR 0,57, 95%-KI 0,48–0,68; Frauen HR 0,50, 95%-KI 0,40–0,63). Zentrale Magermasse zeigte inverse Assoziation vor allem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objektivem Imaging; Adipositäts-Phänotypisierung übertragbar auf deutsche Kohorten.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Postbariatrische Impulskontrolle durch tDCS und psychosoziale Nachsorge: Pilot mit moderaten Effekten</w:t>
      </w:r>
    </w:p>
    <w:p>
      <w:r>
        <w:rPr>
          <w:i/>
          <w:color w:val="666666"/>
          <w:sz w:val="18"/>
        </w:rPr>
        <w:t>Rösch SA et al.  ·  Obes Surg  ·  15.07.2026  ·  PMID 42455493</w:t>
      </w:r>
    </w:p>
    <w:p>
      <w:r>
        <w:t>Randomisierte Pilotstudie (n = 19) zu Transkranieller Gleichstrom-Stimulation (tDCS) über rechts-dorsolateralem Präfrontalkortex plus Inhibitionstraining und psychosozialen Gruppen, 4 Wochen und 3 Monate nach Adipositaschirurgie.</w:t>
      </w:r>
    </w:p>
    <w:p>
      <w:r>
        <w:rPr>
          <w:b/>
        </w:rPr>
        <w:t xml:space="preserve">Ergebnis: </w:t>
      </w:r>
      <w:r>
        <w:t>Akzeptanz 67–80 %, Zufriedenheit M &gt; 4,38, Nebenwirkungen minimal (M = 1,46/5). Beide Gruppen zeigten moderate Verbesserungen in Essverhalten und Impulskontrolle, Hungergefühl, Lebensqualität, BMI und endokrinen Markern. Unterschied verum vs. sham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beteiligt; Machbarkeitsstudie mit zu kleiner Stichprobe für Effektivitätsschluss.</w:t>
      </w:r>
    </w:p>
    <w:p>
      <w:r>
        <w:rPr>
          <w:color w:val="5A7D3A"/>
          <w:sz w:val="18"/>
        </w:rPr>
        <w:t>https://pubmed.ncbi.nlm.nih.gov/42455493/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