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03.10.2026  |  6 Studien  |  adipositas.m-vf.de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Sarkopenische Adipositas assoziiert mit kognitiven Defiziten im höheren Alter</w:t>
      </w:r>
    </w:p>
    <w:p>
      <w:r>
        <w:rPr>
          <w:i/>
          <w:color w:val="666666"/>
          <w:sz w:val="18"/>
        </w:rPr>
        <w:t>Wang MC et al.  ·  J Cachexia Sarcopenia Muscle  ·  Okt. 2026  ·  PMID 42825653</w:t>
      </w:r>
    </w:p>
    <w:p>
      <w:r>
        <w:t>Prospektive taiwanesische Kohortenstudie (2015–2019) an 366 nicht-dementen Älteren (≥69 Jahre) zu sarkopenischer und dynamopener Adipositas und globaler sowie domänenspezifischer Kognition.</w:t>
      </w:r>
    </w:p>
    <w:p>
      <w:r>
        <w:rPr>
          <w:b/>
        </w:rPr>
        <w:t xml:space="preserve">Ergebnis: </w:t>
      </w:r>
      <w:r>
        <w:t>Sarkopenische Adipositas war assoziiert mit schlechterer globaler Kognition (MoCA-T: β̂=−0,96, 95%-KI −1,80 bis −0,13), Gedächtnis (β̂=−0,38, 95%-KI −0,72 bis −0,04) und Aufmerksamkeit (Trail A: β̂=−0,43, 95%-KI −0,73 bis −0,12). Dynamopene Adipositas zeigte ähnliche Assoziationen. Effekte blieben bei Frauen und APOE-ε4-Nichtträgern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prospektiv, Mechanismus könnten auf Deutschland übertragbar sein</w:t>
      </w:r>
    </w:p>
    <w:p>
      <w:r>
        <w:rPr>
          <w:color w:val="5A7D3A"/>
          <w:sz w:val="18"/>
        </w:rPr>
        <w:t>https://pubmed.ncbi.nlm.nih.gov/42825653/</w:t>
      </w:r>
    </w:p>
    <w:p>
      <w:pPr>
        <w:pStyle w:val="Heading2"/>
      </w:pPr>
      <w:r>
        <w:t>Gastric Bypass erhöht Antibiotika-Versagen bei Blasenentzündung in der Schwangerschaft</w:t>
      </w:r>
    </w:p>
    <w:p>
      <w:r>
        <w:rPr>
          <w:i/>
          <w:color w:val="666666"/>
          <w:sz w:val="18"/>
        </w:rPr>
        <w:t>Thunbo MØ et al.  ·  Basic Clin Pharmacol Toxicol  ·  Nov. 2026  ·  PMID 42825591</w:t>
      </w:r>
    </w:p>
    <w:p>
      <w:r>
        <w:t>Registerbasierte dänische Studie an 1985 Schwangerschaften nach Magenbypass und 1,4 Mio. ohne, zur Wirksamkeit von Antibiotika gegen Blasenentzündung.</w:t>
      </w:r>
    </w:p>
    <w:p>
      <w:r>
        <w:rPr>
          <w:b/>
        </w:rPr>
        <w:t xml:space="preserve">Ergebnis: </w:t>
      </w:r>
      <w:r>
        <w:t>Frauen nach Bypass zeigten 22,6% vs. 12,7% Antibiotikaeinnahme. Bei Exposition stieg das Risiko wiederholter Antibiotikaverschreibung (aOR 1,69, 95%-KI 1,22–2,30) und dokumentierter Blasenentzündung (aOR 2,22, 95%-KI 1,24–3,67). Schwere Komplikationen blieben selten. Die resorptionsbeeinträchtigte Anatomie nach Bypass gefährdet den Behandlungserfolg.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Sozialversicherungssystem, gut übertragbar</w:t>
      </w:r>
    </w:p>
    <w:p>
      <w:r>
        <w:rPr>
          <w:color w:val="5A7D3A"/>
          <w:sz w:val="18"/>
        </w:rPr>
        <w:t>https://pubmed.ncbi.nlm.nih.gov/42825591/</w:t>
      </w:r>
    </w:p>
    <w:p>
      <w:pPr>
        <w:pStyle w:val="Heading2"/>
      </w:pPr>
      <w:r>
        <w:t>KI-gestütztes Trainingsprogramm: BMI und Körperfett bei Kindern mit Adipositas um 6–9% gesenkt</w:t>
      </w:r>
    </w:p>
    <w:p>
      <w:r>
        <w:rPr>
          <w:i/>
          <w:color w:val="666666"/>
          <w:sz w:val="18"/>
        </w:rPr>
        <w:t>Cao L et al.  ·  Front Public Health  ·  17.09.2026  ·  PMID 42824389</w:t>
      </w:r>
    </w:p>
    <w:p>
      <w:r>
        <w:t>Chinesische Pilotstudie mit 19 Kindern mit einfacher Adipositas (mittleres Alter 10,1 Jahre) zu 12-wöchigem individualisierten, KI-unterstütztem Trainingsintervention mit Coaching vor Ort.</w:t>
      </w:r>
    </w:p>
    <w:p>
      <w:r>
        <w:rPr>
          <w:b/>
        </w:rPr>
        <w:t xml:space="preserve">Ergebnis: </w:t>
      </w:r>
      <w:r>
        <w:t>BMI sank von 25,29±3,56 auf 23,64±3,60 kg/m² (p&lt;0,001, d=0,46), Körperfettmasse von 21,06±6,70 auf 17,94±6,69 kg (p&lt;0,001, d=0,47). Griffstärke, Seilspringen, Sit-ups und posturale Kontrolle verbesserten sich signifikant. Alle 19 Teilnehmer vollendeten ohne unerwünschte Ereignisse. Machbarkeit belegt, weitere RCTs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Machbarkeitsstudie, Übertragbarkeit hängt von Zugang zu KI-Systemen ab</w:t>
      </w:r>
    </w:p>
    <w:p>
      <w:r>
        <w:rPr>
          <w:color w:val="5A7D3A"/>
          <w:sz w:val="18"/>
        </w:rPr>
        <w:t>https://pubmed.ncbi.nlm.nih.gov/42824389/</w:t>
      </w:r>
    </w:p>
    <w:p>
      <w:pPr>
        <w:pStyle w:val="Heading2"/>
      </w:pPr>
      <w:r>
        <w:t>Übergewicht bei Medizinstudierenden: Blutdruck erhöht, Lebensqualität aber nicht beeinträchtigt</w:t>
      </w:r>
    </w:p>
    <w:p>
      <w:r>
        <w:rPr>
          <w:i/>
          <w:color w:val="666666"/>
          <w:sz w:val="18"/>
        </w:rPr>
        <w:t>Zieleń-Zynek I et al.  ·  Front Public Health  ·  17.09.2026  ·  PMID 42824148</w:t>
      </w:r>
    </w:p>
    <w:p>
      <w:r>
        <w:t>Prospektive 2-Jahres-Kohortenstudie an 887 (Folgejahr 705) Medizinstudierenden aus Polen zu Übergewicht, Bluthochdruck und Lebensqualität mittels WHOQOL-BREF.</w:t>
      </w:r>
    </w:p>
    <w:p>
      <w:r>
        <w:rPr>
          <w:b/>
        </w:rPr>
        <w:t xml:space="preserve">Ergebnis: </w:t>
      </w:r>
      <w:r>
        <w:t>Übergewicht/Adipositas stieg von 12,9% auf 13,6%, signifikant höher bei Männern. Höchste Bluthochdruckraten bei Adipösen (p&lt;0,0001) in beiden Jahren. Gesamtlebensqualität unterschied sich nicht signifikant nach BMI-Kategorien. Finanzielle Schwierigkeiten (OR=1,67–1,91) und chronische Erkrankungen (OR=2,15–2,23) waren unabhängige Prädiktoren niedrigerer Lebensqualität, nicht das BMI selbst.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europäisches System, vergleichbar mit deutschem Studiensetting</w:t>
      </w:r>
    </w:p>
    <w:p>
      <w:r>
        <w:rPr>
          <w:color w:val="5A7D3A"/>
          <w:sz w:val="18"/>
        </w:rPr>
        <w:t>https://pubmed.ncbi.nlm.nih.gov/42824148/</w:t>
      </w:r>
    </w:p>
    <w:p>
      <w:pPr>
        <w:pStyle w:val="Heading2"/>
      </w:pPr>
      <w:r>
        <w:t>Adipositas verschärft Asthma: 67% höhere Hospitalisierungsrate</w:t>
      </w:r>
    </w:p>
    <w:p>
      <w:r>
        <w:rPr>
          <w:i/>
          <w:color w:val="666666"/>
          <w:sz w:val="18"/>
        </w:rPr>
        <w:t>Scott HA et al.  ·  Respir Res  ·  21.08.2026  ·  PMID 42823689</w:t>
      </w:r>
    </w:p>
    <w:p>
      <w:r>
        <w:t>Australasische Schweregrad-Asthma-Registry mit 1019 Patienten (882 schwer, 137 nicht-schwer) zur Rolle von Adipositas auf Asthma-Ergebnisse und Atemwegentzündung.</w:t>
      </w:r>
    </w:p>
    <w:p>
      <w:r>
        <w:rPr>
          <w:b/>
        </w:rPr>
        <w:t xml:space="preserve">Ergebnis: </w:t>
      </w:r>
      <w:r>
        <w:t>Adipöse Patienten mit schwerem Asthma zeigten 26,2% vs. 15,7% Spitaleinweisungen im Vorjahr (p&lt;0,001), schlechtere Asthmakontrolle, reduzierte Lungenfunktion und erhöhte Sputum-Neutrophile. Geschlechtsspezifisch: Neutrophile korrelierten mit BMI bei Frauen (rs=0,370, p=0,003), nicht bei Männern (rs=0,092, p=0,495).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Australien/Neuseeland, ähnlicher Versorgungsauftrag, teilweise übertragbar</w:t>
      </w:r>
    </w:p>
    <w:p>
      <w:r>
        <w:rPr>
          <w:color w:val="5A7D3A"/>
          <w:sz w:val="18"/>
        </w:rPr>
        <w:t>https://pubmed.ncbi.nlm.nih.gov/42823689/</w:t>
      </w:r>
    </w:p>
    <w:p>
      <w:pPr>
        <w:pStyle w:val="Heading2"/>
      </w:pPr>
      <w:r>
        <w:t>Endoskopische Gastroplastie: Nährstoffstatus nach 6 Monaten stabil, Gewichtsverlust anhaltend</w:t>
      </w:r>
    </w:p>
    <w:p>
      <w:r>
        <w:rPr>
          <w:i/>
          <w:color w:val="666666"/>
          <w:sz w:val="18"/>
        </w:rPr>
        <w:t>Lisboa AF et al.  ·  Arq Bras Cir Dig  ·  28.09.2026  ·  PMID 42820570</w:t>
      </w:r>
    </w:p>
    <w:p>
      <w:r>
        <w:t>Retrospektive brasilianische Beobachtungsstudie an 27 adipösen Patienten (88,9% Frauen, mittleres Alter 43,8 Jahre) zur Nährstoffbilanz vor und 6 Monate nach endoskopischer Gastroplastie.</w:t>
      </w:r>
    </w:p>
    <w:p>
      <w:r>
        <w:rPr>
          <w:b/>
        </w:rPr>
        <w:t xml:space="preserve">Ergebnis: </w:t>
      </w:r>
      <w:r>
        <w:t>Mittlerer BMI von 35,31±8,7 kg/m². Gesamtgewichtsverlust 10±5,7 kg, Übergewichtsverlust 41,1±28,1%. Präoperativ: Eisenmangel (n=1), B12-Mangel (n=2), Vitamin-D-Mangel (n=2), Zinkmangel (n=1), Kalziummangel (n=2), Hyperglykämie (n=4). Postoperativ keine Mangelerscheinungen, stabile Laborwerte (p&gt;0,05), anhaltender Gewichtsverlust. Kurzzeitnachbeobachtung ohne Defizitentwicklung.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Endoskopie übertragbar, aber kleine Fallzahl und 6-Monats-Horizont limitiert</w:t>
      </w:r>
    </w:p>
    <w:p>
      <w:r>
        <w:rPr>
          <w:color w:val="5A7D3A"/>
          <w:sz w:val="18"/>
        </w:rPr>
        <w:t>https://pubmed.ncbi.nlm.nih.gov/42820570/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