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01.09.2026  |  6 Studien  |  adipositas.m-vf.de</w:t>
      </w:r>
    </w:p>
    <w:p>
      <w:pPr>
        <w:pStyle w:val="Heading1"/>
      </w:pPr>
      <w:r>
        <w:t>Aufgenommen am 01.09.2026</w:t>
      </w:r>
    </w:p>
    <w:p>
      <w:pPr>
        <w:pStyle w:val="Heading2"/>
      </w:pPr>
      <w:r>
        <w:t>ADHS-Symptome als Prädiktor für schlechtere BMI-Ergebnisse bei familienbasierter Verhaltensbehandlung schwerer Adipositas bei Jugendlichen</w:t>
      </w:r>
    </w:p>
    <w:p>
      <w:r>
        <w:rPr>
          <w:i/>
          <w:color w:val="666666"/>
          <w:sz w:val="18"/>
        </w:rPr>
        <w:t>Skodvin VA et al.  ·  Pediatr Obes  ·  Sept. 2026  ·  PMID 42675013</w:t>
      </w:r>
    </w:p>
    <w:p>
      <w:r>
        <w:t>Norwegische Studie mit 90 Jugendlichen (Median 13,2 Jahre) mit schwerer Adipositas in 17-Sitzungen-Familienbehandlung (FBT) zum Einfluss psychischer Symptome auf BMI-Abnahme.</w:t>
      </w:r>
    </w:p>
    <w:p>
      <w:r>
        <w:rPr>
          <w:b/>
        </w:rPr>
        <w:t xml:space="preserve">Ergebnis: </w:t>
      </w:r>
      <w:r>
        <w:t>Durchschnittliche BMI-Reduktion während FBT: -3,80 (%IOTF25) und -0,08 (BMIz). Höhere ADHS-Symptomwerte vorhersagend für kleinere BMI-Reduktion (0,31 Einheiten %IOTF25, p=0,02; 0,01 Einheiten BMIz, p=0,03 pro T-Score-Punkt). Selbstwertgefühl, emotionale Dysregulation, internalisierend/externalisierend Probleme nicht signifikant. Familienunterstützung sollte für Kinder mit ADHS intensiviert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Nordeuropa – vergleichbares Gesundheitssystem, ähnliche Versorgungsstruktur</w:t>
      </w:r>
    </w:p>
    <w:p>
      <w:r>
        <w:rPr>
          <w:color w:val="5A7D3A"/>
          <w:sz w:val="18"/>
        </w:rPr>
        <w:t>https://pubmed.ncbi.nlm.nih.gov/42675013/</w:t>
      </w:r>
    </w:p>
    <w:p>
      <w:pPr>
        <w:pStyle w:val="Heading2"/>
      </w:pPr>
      <w:r>
        <w:t>Adipositas-Gewichtsmanagement-Programme für Nierentransplantations-Kandidaten: Barrieren und Akzeptanz</w:t>
      </w:r>
    </w:p>
    <w:p>
      <w:r>
        <w:rPr>
          <w:i/>
          <w:color w:val="666666"/>
          <w:sz w:val="18"/>
        </w:rPr>
        <w:t>Lavenburg LM et al.  ·  Clin Transplant  ·  Sept. 2026  ·  PMID 42665576</w:t>
      </w:r>
    </w:p>
    <w:p>
      <w:r>
        <w:t>Monozentrische US-Studie zur Identifikation von Faktoren für Annahme und Inanspruchnahme von Gewichtsmanagement-Programmen bei 59 Nierentransplantations-Kandidaten mit Adipositas.</w:t>
      </w:r>
    </w:p>
    <w:p>
      <w:r>
        <w:rPr>
          <w:b/>
        </w:rPr>
        <w:t xml:space="preserve">Ergebnis: </w:t>
      </w:r>
      <w:r>
        <w:t>50,8 % (30/59) akzeptierten das Überweisungsangebot, aber nur 15,3 % (9/59) nahmen tatsächlich Kontakt auf. Höherer BMI (Median 47 vs. 45; p=0,002) und nähere Entfernung zur Transplantationsklinik (20 vs. 48 Meilen; p=0,010) erhöhten Akzeptanz. Multivariable Modelle: jede Meile Distanz reduzierte Akzeptanz um 2 % (OR 0,98; 95%-KI 0,96–1,00); jede BMI-Einheit erhöhte sie um 22 % (OR 1,22; 95%-KI 1,03–1,45).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eingeschränkt – Struktur und Kostenübernahme unterscheiden sich von deutschem System</w:t>
      </w:r>
    </w:p>
    <w:p>
      <w:r>
        <w:rPr>
          <w:color w:val="5A7D3A"/>
          <w:sz w:val="18"/>
        </w:rPr>
        <w:t>https://pubmed.ncbi.nlm.nih.gov/42665576/</w:t>
      </w:r>
    </w:p>
    <w:p>
      <w:pPr>
        <w:pStyle w:val="Heading2"/>
      </w:pPr>
      <w:r>
        <w:t>Depression bei schwangeren Frauen nach bariatrischer Chirurgie in VAE: Sleeve häufiger betroffen als Bypass</w:t>
      </w:r>
    </w:p>
    <w:p>
      <w:r>
        <w:rPr>
          <w:i/>
          <w:color w:val="666666"/>
          <w:sz w:val="18"/>
        </w:rPr>
        <w:t>Al Mansoori A et al.  ·  Womens Health (Lond)  ·  28.08.2026  ·  PMID 42664494</w:t>
      </w:r>
    </w:p>
    <w:p>
      <w:r>
        <w:t>Deskriptive Querschnittsstudie mit 41 schwangeren Frauen mit Anamnese bariatrischer Chirurgie in Abu Dhabi zur Prävalenz und Assoziationen perinatalaler Depression.</w:t>
      </w:r>
    </w:p>
    <w:p>
      <w:r>
        <w:rPr>
          <w:b/>
        </w:rPr>
        <w:t xml:space="preserve">Ergebnis: </w:t>
      </w:r>
      <w:r>
        <w:t>Depression bei 46,3 % der Teilnehmerinnen (Edinburgh Postnatal Depression Scale); 2,7 % schwere Depression. Sleeve-Gastrektomie-Gruppe zeigte höhere EPDS-Scores als Roux-en-Y-Bypass-Gruppe (U=220.000, p=0,015). Keine signifikanten Unterschiede nach Alter, Menopausenstatus oder soziodemografischen Merkmalen. Kleine Stichprobe, aber Befunde deuten auf erhöhtes Depressionsrisiko nach Sleeve.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VAE, Mittlerer Osten – begrenzt vergleichbar, andere Versorgungsstrukturen</w:t>
      </w:r>
    </w:p>
    <w:p>
      <w:r>
        <w:rPr>
          <w:color w:val="5A7D3A"/>
          <w:sz w:val="18"/>
        </w:rPr>
        <w:t>https://pubmed.ncbi.nlm.nih.gov/42664494/</w:t>
      </w:r>
    </w:p>
    <w:p>
      <w:pPr>
        <w:pStyle w:val="Heading2"/>
      </w:pPr>
      <w:r>
        <w:t>Transkutane Vagusnervstimulation gegen Adipositas-assoziierte Entzündung: Studienprotokoll</w:t>
      </w:r>
    </w:p>
    <w:p>
      <w:r>
        <w:rPr>
          <w:i/>
          <w:color w:val="666666"/>
          <w:sz w:val="18"/>
        </w:rPr>
        <w:t>Kaluza L et al.  ·  BMC Psychol  ·  04.08.2026  ·  PMID 42552546</w:t>
      </w:r>
    </w:p>
    <w:p>
      <w:r>
        <w:t>Deutsches Studienprotokoll einer randomisierten, sham-kontrollierten Crossover-Studie zu tVNS bei Adipositas (BMI 27–35 kg/m²) zur Reduktion chronischer niedriger Entzündungsmarker.</w:t>
      </w:r>
    </w:p>
    <w:p>
      <w:r>
        <w:rPr>
          <w:b/>
        </w:rPr>
        <w:t xml:space="preserve">Ergebnis: </w:t>
      </w:r>
      <w:r>
        <w:t>Geplante Studie mit N=60 Teilnehmern; 14-Tage-Phasen mit hochintensiver vs. niedriger tVNS (≥30 min täglich). Primär: periphere und zentrale Entzündungsmarker sowie Motivation und Stimmung mit gemischten neurologischen und immunologischen Messungen. Multiples Outcome-Profil geplant (noch keine Ergebnisse).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Klinik, direkt übertragbar auf deutsches Gesundheitssystem</w:t>
      </w:r>
    </w:p>
    <w:p>
      <w:r>
        <w:rPr>
          <w:color w:val="5A7D3A"/>
          <w:sz w:val="18"/>
        </w:rPr>
        <w:t>https://pubmed.ncbi.nlm.nih.gov/42552546/</w:t>
      </w:r>
    </w:p>
    <w:p>
      <w:pPr>
        <w:pStyle w:val="Heading2"/>
      </w:pPr>
      <w:r>
        <w:t>Sozioökonomische Gradienten und Adipositas bei Älteren in Kasachstan: reverses Muster in früher Nutrition-Transition</w:t>
      </w:r>
    </w:p>
    <w:p>
      <w:r>
        <w:rPr>
          <w:i/>
          <w:color w:val="666666"/>
          <w:sz w:val="18"/>
        </w:rPr>
        <w:t>Zhumadilova A et al.  ·  Front Public Health  ·  10.07.2026  ·  PMID 42500011</w:t>
      </w:r>
    </w:p>
    <w:p>
      <w:r>
        <w:t>Querschnittsstudie mit 977 älteren Erwachsenen (50–74 Jahre) aus urban und rural gelegenen Gebieten der Astana-Region zur Prävalenz und sozioökonomischen Korrelaten von Übergewicht und Adipositas.</w:t>
      </w:r>
    </w:p>
    <w:p>
      <w:r>
        <w:rPr>
          <w:b/>
        </w:rPr>
        <w:t xml:space="preserve">Ergebnis: </w:t>
      </w:r>
      <w:r>
        <w:t>Gesamtprävalenz: 37 % übergewichtig, 44 % adipös, 72 % zentrale Adipositas. Reverses Muster (unerwartetes Ergebnis für ein Low-Income-Setting): höhere Vermögensausstattung assoziiert mit Übergewicht/Adipositas (Trend p=0,038 und p=0,002). Höhere Schulbildung protektiv; zentrale Adipositas stark mit Diabetes, Hypertonie, Hypercholesterinämie assoziiert (alle konsistent über Modelle). Ländlicher Raum protektiv gegen zentrale Adipositas (OR 0,43; 95%-KI 0,30–0,64).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Kasachstan, Transitionsland – begrenzt vergleichbar, zeigt andere sozioökonomische Muster als wohlhabende Länder</w:t>
      </w:r>
    </w:p>
    <w:p>
      <w:r>
        <w:rPr>
          <w:color w:val="5A7D3A"/>
          <w:sz w:val="18"/>
        </w:rPr>
        <w:t>https://pubmed.ncbi.nlm.nih.gov/42500011/</w:t>
      </w:r>
    </w:p>
    <w:p>
      <w:pPr>
        <w:pStyle w:val="Heading2"/>
      </w:pPr>
      <w:r>
        <w:t>Adipositas bei Ösophagektomie: kein erhöhtes Operationsrisiko, aber mehr Thromboembolien</w:t>
      </w:r>
    </w:p>
    <w:p>
      <w:r>
        <w:rPr>
          <w:i/>
          <w:color w:val="666666"/>
          <w:sz w:val="18"/>
        </w:rPr>
        <w:t>Skogar ML et al.  ·  Scand J Surg  ·  20.07.2026  ·  PMID 42473743</w:t>
      </w:r>
    </w:p>
    <w:p>
      <w:r>
        <w:t>Schwedische Kohortenstudie mit Daten von 1.494 Ösophagektomie-Patienten (2006–2018) zum Zusammenhang zwischen BMI und perioperativen sowie langfristigen Ergebnissen.</w:t>
      </w:r>
    </w:p>
    <w:p>
      <w:r>
        <w:rPr>
          <w:b/>
        </w:rPr>
        <w:t xml:space="preserve">Ergebnis: </w:t>
      </w:r>
      <w:r>
        <w:t>Von 227 Patienten (15,2 %) mit Adipositas zeigten sich keine erhöhten chirurgischen Komplikationen (OR 0,92; 95%-KI 0,62–1,39), aber erhöhtes Risiko für nicht-chirurgische Komplikationen wie Lungenembolie (OR 1,64; 95%-KI 1,10–2,45). Adipositas war mit verbesserter Langzeitüberlebensrate assoziiert (HR 0,75; 95%-KI 0,57–0,98), möglicherweise durch reverse causation durch prä-diagnostischen Gewichtsverlust verzerrt.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 nationale Registerdaten, vergleichbare Kliniken-Infrastruktur mit Deutschland</w:t>
      </w:r>
    </w:p>
    <w:p>
      <w:r>
        <w:rPr>
          <w:color w:val="5A7D3A"/>
          <w:sz w:val="18"/>
        </w:rPr>
        <w:t>https://pubmed.ncbi.nlm.nih.gov/42473743/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2026-09-01T06:00:00Z</dcterms:created>
  <dcterms:modified xsi:type="dcterms:W3CDTF">2026-09-01T06:00:00Z</dcterms:modified>
  <cp:category/>
</cp:coreProperties>
</file>