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18.09.2026  |  6 Studien  |  adipositas.m-vf.de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Obesitäts-Hypoventilationssyndrom auf Intensivstation: 3 % der adipösen Patienten nicht erkannt</w:t>
      </w:r>
    </w:p>
    <w:p>
      <w:r>
        <w:rPr>
          <w:i/>
          <w:color w:val="666666"/>
          <w:sz w:val="18"/>
        </w:rPr>
        <w:t>Lee KJ et al.  ·  Korean J Intern Med  ·  01.09.2026  ·  PMID 42754525</w:t>
      </w:r>
    </w:p>
    <w:p>
      <w:r>
        <w:t>Retrospektive Kohortenstudie bei 3.660 MICU-Patienten (531 adipös, BMI≥27) in Seoul (2016–2023) zum Anteil und Erkennungsrate des wahrscheinlichen Obesitäts-Hypoventilationssyndroms.</w:t>
      </w:r>
    </w:p>
    <w:p>
      <w:r>
        <w:rPr>
          <w:b/>
        </w:rPr>
        <w:t xml:space="preserve">Ergebnis: </w:t>
      </w:r>
      <w:r>
        <w:t>Wahrscheinliches OHS in 0,4 % aller MICU-Patienten (3,0 % adipös, 6,5 % bei BMI≥30). Längere Krankenhausverweildauer trotz niedrigerer Aufnahmeschwere. Mortalität nach IPTW-Anpassung nicht signifikant unterschiedlich. Unterdiagnose zeigt Erkennungslücke.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Universitätsklinikum; kritische Pflege, vergleichbare diagnostische Standards</w:t>
      </w:r>
    </w:p>
    <w:p>
      <w:r>
        <w:rPr>
          <w:color w:val="5A7D3A"/>
          <w:sz w:val="18"/>
        </w:rPr>
        <w:t>https://pubmed.ncbi.nlm.nih.gov/42754525/</w:t>
      </w:r>
    </w:p>
    <w:p>
      <w:pPr>
        <w:pStyle w:val="Heading2"/>
      </w:pPr>
      <w:r>
        <w:t>Semaglutid bei antipsychotika-assoziierter Adipositas in Jugendlichen: Machbarkeitsstudie</w:t>
      </w:r>
    </w:p>
    <w:p>
      <w:r>
        <w:rPr>
          <w:i/>
          <w:color w:val="666666"/>
          <w:sz w:val="18"/>
        </w:rPr>
        <w:t>Giraldi LV et al.  ·  BMJ Open  ·  17.09.2026  ·  PMID 42754274</w:t>
      </w:r>
    </w:p>
    <w:p>
      <w:r>
        <w:t>Open-label Machbarkeitsstudie an 34 Jugendlichen (12–18 Jahre) mit antipsychotika-bedingter Adipositas in Kopenhagen (36 Wochen Semaglutid bis 2,4 mg/Woche plus Standardversorgung).</w:t>
      </w:r>
    </w:p>
    <w:p>
      <w:r>
        <w:rPr>
          <w:b/>
        </w:rPr>
        <w:t xml:space="preserve">Ergebnis: </w:t>
      </w:r>
      <w:r>
        <w:t>Primäre Zielgröße: Komplettierungsrate der Studie. Sekundär: BMI-SD-Score, Körperzusammensetzung, metabolische und psychiatrische Parameter. Ergebnisse nicht im Abstract genannt, da Machbarkeitsstudie mit anschließender Observationsphase (18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 Sozialversicherung; GLP-1RA als Adipositas-Arzneimittel unter §34 SGB V nicht erstattet</w:t>
      </w:r>
    </w:p>
    <w:p>
      <w:r>
        <w:rPr>
          <w:color w:val="5A7D3A"/>
          <w:sz w:val="18"/>
        </w:rPr>
        <w:t>https://pubmed.ncbi.nlm.nih.gov/42754274/</w:t>
      </w:r>
    </w:p>
    <w:p>
      <w:pPr>
        <w:pStyle w:val="Heading2"/>
      </w:pPr>
      <w:r>
        <w:t>Bluttesttrends besser als Einzelwert zur Krebserkennung bei unerwartetem Gewichtsverlust</w:t>
      </w:r>
    </w:p>
    <w:p>
      <w:r>
        <w:rPr>
          <w:i/>
          <w:color w:val="666666"/>
          <w:sz w:val="18"/>
        </w:rPr>
        <w:t>Nicholson BD et al.  ·  PLoS Med  ·  17.09.2026  ·  PMID 42752402</w:t>
      </w:r>
    </w:p>
    <w:p>
      <w:r>
        <w:t>Retrospektive Kohortenstudie an 275.205 Patienten mit unerwartetem Gewichtsverlust in englischer Primärversorgung (2000–2018) zum Vergleich des Diskriminationsvermögens von Bluttesttrends vs. Einzelwert-Abnormitäten für Krebsdiagnose.</w:t>
      </w:r>
    </w:p>
    <w:p>
      <w:r>
        <w:rPr>
          <w:b/>
        </w:rPr>
        <w:t xml:space="preserve">Ergebnis: </w:t>
      </w:r>
      <w:r>
        <w:t>Unter 13.798 Krebsfällen (5,0 %): Bluttesttrends nach Alters- und Geschlechtsanpassung stärker diskriminativ als Einzelwerte (höchste AUC 0,82 [0,81–0,83]). 26 Trends für Gesamtkrebs, mittleres Zellvolumen für Darm/Lymphom, WBC/Neutrophile für Lungenkrebs, multiple Parameter für Prostatakarzinom bessere Vorhersage.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Primärversorgung, Clinical Practice Research Datalink; System vergleichbar mit deutschen Hausarztdaten</w:t>
      </w:r>
    </w:p>
    <w:p>
      <w:r>
        <w:rPr>
          <w:color w:val="5A7D3A"/>
          <w:sz w:val="18"/>
        </w:rPr>
        <w:t>https://pubmed.ncbi.nlm.nih.gov/42752402/</w:t>
      </w:r>
    </w:p>
    <w:p>
      <w:pPr>
        <w:pStyle w:val="Heading2"/>
      </w:pPr>
      <w:r>
        <w:t>Vascular Alter als Prädiktor für metabolisches Syndrom bei spanischen Berufstätigen</w:t>
      </w:r>
    </w:p>
    <w:p>
      <w:r>
        <w:rPr>
          <w:i/>
          <w:color w:val="666666"/>
          <w:sz w:val="18"/>
        </w:rPr>
        <w:t>Montero Muñoz N et al.  ·  Endocrinol Diabetes Nutr (Engl Ed)  ·  Aug. 2026  ·  PMID 42744528</w:t>
      </w:r>
    </w:p>
    <w:p>
      <w:r>
        <w:t>Querschnittsstudie an 336.450 erwerbstätigen Spaniern (2018–2022) zur Vorhersagekraft des geschätzten vaskulären Alters nach dem Framingham-Modell für die Früherkennung metabolischer Störungen.</w:t>
      </w:r>
    </w:p>
    <w:p>
      <w:r>
        <w:rPr>
          <w:b/>
        </w:rPr>
        <w:t xml:space="preserve">Ergebnis: </w:t>
      </w:r>
      <w:r>
        <w:t>Metabolisches Syndrom stieg progressiv mit höherem vaskulären Alter; Fläche unter der Kurve &gt;0,80 (Frauen bis 0,86). Vaskuläres Alter ist ein starker unabhängiger Prädiktor für metabolische Risiken und praktisch in Arbeitsschutzprogrammen einsetzbar.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Spanischer Arbeitsmedizin-Kontext, vergleichbares Sozialversicherungssystem wie Deutschland</w:t>
      </w:r>
    </w:p>
    <w:p>
      <w:r>
        <w:rPr>
          <w:color w:val="5A7D3A"/>
          <w:sz w:val="18"/>
        </w:rPr>
        <w:t>https://pubmed.ncbi.nlm.nih.gov/42744528/</w:t>
      </w:r>
    </w:p>
    <w:p>
      <w:pPr>
        <w:pStyle w:val="Heading2"/>
      </w:pPr>
      <w:r>
        <w:t>Adipositaschirurgie bei Typ-1-Diabetes: Gewichtsverlust erreicht, Glykämie unverändert</w:t>
      </w:r>
    </w:p>
    <w:p>
      <w:r>
        <w:rPr>
          <w:i/>
          <w:color w:val="666666"/>
          <w:sz w:val="18"/>
        </w:rPr>
        <w:t>Mottalib A et al.  ·  Surg Obes Relat Dis  ·  14.03.2026  ·  PMID 42742506</w:t>
      </w:r>
    </w:p>
    <w:p>
      <w:r>
        <w:t>Retrospektive matched-cohort-Studie an 20 Patienten mit Typ-1-Diabetes und Adipositas nach bariatrischer Operation vs. 20 Kontrollpersonen in Standardversorgung über 3 Jahre.</w:t>
      </w:r>
    </w:p>
    <w:p>
      <w:r>
        <w:rPr>
          <w:b/>
        </w:rPr>
        <w:t xml:space="preserve">Ergebnis: </w:t>
      </w:r>
      <w:r>
        <w:t>Chirurgie-Gruppe: Gewichtsverlust 33,5±2,6 kg (28,1 %), Kontrollgruppe Gewichtszunahme 2,6±2,8 kg (p&lt;0,0001). HbA1c unverändert in beiden Gruppen. Chirurgie-Gruppe zeigte Reduktion Insulindosis (-), Triglyceride (-), systolischer Blutdruck (-), HDL-Cholesterin (+).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USA-Klinikdaten, begrenzte Fallzahl (n=20); Adipositaschirurgie-Genehmigung in Deutschland Einzelfallprüfung</w:t>
      </w:r>
    </w:p>
    <w:p>
      <w:r>
        <w:rPr>
          <w:color w:val="5A7D3A"/>
          <w:sz w:val="18"/>
        </w:rPr>
        <w:t>https://pubmed.ncbi.nlm.nih.gov/42742506/</w:t>
      </w:r>
    </w:p>
    <w:p>
      <w:pPr>
        <w:pStyle w:val="Heading2"/>
      </w:pPr>
      <w:r>
        <w:t>SGLT2-Inhibitoren und GLP-1-Agonisten: Gewichtsverlust stärker bei Adipösen, Glykämieverbesserung gleich</w:t>
      </w:r>
    </w:p>
    <w:p>
      <w:r>
        <w:rPr>
          <w:i/>
          <w:color w:val="666666"/>
          <w:sz w:val="18"/>
        </w:rPr>
        <w:t>Almohammed OA et al.  ·  Front Endocrinol (Lausanne)  ·  31.08.2026  ·  PMID 42741141</w:t>
      </w:r>
    </w:p>
    <w:p>
      <w:r>
        <w:t>Multicenter-Beobachtungsstudie an 1.016 Patienten mit Typ-2-Diabetes in Saudi-Arabien zum Vergleich der Gewichts- und Glykämieveränderungen zwischen adipösen (BMI≥30) und nicht-adipösen Personen unter SGLT2i oder GLP-1RA.</w:t>
      </w:r>
    </w:p>
    <w:p>
      <w:r>
        <w:rPr>
          <w:b/>
        </w:rPr>
        <w:t xml:space="preserve">Ergebnis: </w:t>
      </w:r>
      <w:r>
        <w:t>Nach 12 Monaten erreichten adipöse Patienten größere absolute Gewichtsverluste und BMI-Reduktionen (p&lt;0,05). Responderrate ≥5 % Gewichtsverlust bei Adipösen: 27,2 % vs. 15,5 % bei Nicht-Adipösen in Monat 6. HbA1c-Verbesserungen waren zwischen Gruppen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Einzelzentren-Daten; Arzneimittel-Kostenerstattung in Deutschland nicht vergleichbar (§34 SGB V)</w:t>
      </w:r>
    </w:p>
    <w:p>
      <w:r>
        <w:rPr>
          <w:color w:val="5A7D3A"/>
          <w:sz w:val="18"/>
        </w:rPr>
        <w:t>https://pubmed.ncbi.nlm.nih.gov/42741141/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