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30.08.2026  |  6 Studien  |  adipositas.m-vf.de</w:t>
      </w:r>
    </w:p>
    <w:p>
      <w:pPr>
        <w:pStyle w:val="Heading1"/>
      </w:pPr>
      <w:r>
        <w:t>Aufgenommen am 30.08.2026</w:t>
      </w:r>
    </w:p>
    <w:p>
      <w:pPr>
        <w:pStyle w:val="Heading2"/>
      </w:pPr>
      <w:r>
        <w:t>GLP-1-Rezeptor-Agonisten senken Parkinson-Risiko bei Typ-2-Diabetes um 32% – aber Kausalität unklar</w:t>
      </w:r>
    </w:p>
    <w:p>
      <w:r>
        <w:rPr>
          <w:i/>
          <w:color w:val="666666"/>
          <w:sz w:val="18"/>
        </w:rPr>
        <w:t>Chen Y et al.  ·  Front Endocrinol (Lausanne)  ·  13.08.2026  ·  PMID 42661791</w:t>
      </w:r>
    </w:p>
    <w:p>
      <w:r>
        <w:t>Systematische Übersicht und Metaanalyse von 6 Kohortenstudien (insges. 452.763 Teilnehmer) zur Assoziation GLP-1RA-Exposition und Parkinson-Erkrankungsrisiko.</w:t>
      </w:r>
    </w:p>
    <w:p>
      <w:r>
        <w:rPr>
          <w:b/>
        </w:rPr>
        <w:t xml:space="preserve">Ergebnis: </w:t>
      </w:r>
      <w:r>
        <w:t>GLP-1RA mit Parkinson-Risiko-Reduktion assoziiert (HR 0,68, 95%-KI 0,54–0,85, p=0,001). Subgruppenanalysen zeigen HR 0,60 vs. DPP-4-Inhibitoren, HR 0,83 vs. Metformin. Autoren betonen: observationales Design, Confounding, hypothesengenerierend, keine Kausalität bewiesen.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Kanada, Skandinavien; Kostenübernahme GLP-1 in Deutschland ausgeschlossen – akademisch interessant, praktisch nicht relevant.</w:t>
      </w:r>
    </w:p>
    <w:p>
      <w:r>
        <w:rPr>
          <w:color w:val="5A7D3A"/>
          <w:sz w:val="18"/>
        </w:rPr>
        <w:t>https://pubmed.ncbi.nlm.nih.gov/42661791/</w:t>
      </w:r>
    </w:p>
    <w:p>
      <w:pPr>
        <w:pStyle w:val="Heading2"/>
      </w:pPr>
      <w:r>
        <w:t>Adipositas, Typ-2-Diabetes und IGF-1-Signalweg kausal mit Karpaltunnelsyndrom verknüpft</w:t>
      </w:r>
    </w:p>
    <w:p>
      <w:r>
        <w:rPr>
          <w:i/>
          <w:color w:val="666666"/>
          <w:sz w:val="18"/>
        </w:rPr>
        <w:t>Wood AJ et al.  ·  Int J Epidemiol  ·  18.08.2026  ·  PMID 42658720</w:t>
      </w:r>
    </w:p>
    <w:p>
      <w:r>
        <w:t>Mendelian-Randomization-Studie zu genetischen Instrumenten für BMI, Typ-2-Diabetes, IGF-1 und Karpaltunnelsyndrom-Risiko.</w:t>
      </w:r>
    </w:p>
    <w:p>
      <w:r>
        <w:rPr>
          <w:b/>
        </w:rPr>
        <w:t xml:space="preserve">Ergebnis: </w:t>
      </w:r>
      <w:r>
        <w:t>BMI (WHR, WC) kausal für CTS; Effekt durch Typ-2-Diabetes teilweise vermittelt. IGF-1-Signalweg auch unabhängig assoziiert. Befunde stützen therapeutisches Potenzial der Metabolit-Modulation jenseits von Gewichtsverlust.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UK-Biobank-Genetikdaten, bevölkerungsweit; pathophysiologisch-universell, aber Therapie-Implikationen noch spekulativ.</w:t>
      </w:r>
    </w:p>
    <w:p>
      <w:r>
        <w:rPr>
          <w:color w:val="5A7D3A"/>
          <w:sz w:val="18"/>
        </w:rPr>
        <w:t>https://pubmed.ncbi.nlm.nih.gov/42658720/</w:t>
      </w:r>
    </w:p>
    <w:p>
      <w:pPr>
        <w:pStyle w:val="Heading2"/>
      </w:pPr>
      <w:r>
        <w:t>Zenagamtide verbesserte HbA1c, aber Nebenwirkungen limitieren Einsatz in Praxis</w:t>
      </w:r>
    </w:p>
    <w:p>
      <w:r>
        <w:rPr>
          <w:i/>
          <w:color w:val="666666"/>
          <w:sz w:val="18"/>
        </w:rPr>
        <w:t>Mora P et al.  ·  Lancet  ·  15.08.2026  ·  PMID 42532079</w:t>
      </w:r>
    </w:p>
    <w:p>
      <w:r>
        <w:t>Phase-2-Studie zu oralem Zenagamtide (GLP-1/Amylin-Agonist) bei 186 Patienten mit Typ-2-Diabetes über 36 Wochen.</w:t>
      </w:r>
    </w:p>
    <w:p>
      <w:r>
        <w:rPr>
          <w:b/>
        </w:rPr>
        <w:t xml:space="preserve">Ergebnis: </w:t>
      </w:r>
      <w:r>
        <w:t>HbA1c-Senkung um 0,9–1,4% je nach Dosis; gastrointestinale Nebenwirkungen bei 26–47% (vs. 23% Placebo); 7 ernsthafte Unerwünschte Ereignisse unter Zenagamtide, keine unter Placebo. Die hohe Nebenwirkungsrate und Phase-2-Design sprechen gegen Übernahme in Versorgungsroutinen.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USA-Studie, internationale Zentren; Kostenübernahme in Deutschland unwahrscheinlich (§34 SGB V).</w:t>
      </w:r>
    </w:p>
    <w:p>
      <w:r>
        <w:rPr>
          <w:color w:val="5A7D3A"/>
          <w:sz w:val="18"/>
        </w:rPr>
        <w:t>https://pubmed.ncbi.nlm.nih.gov/42532079/</w:t>
      </w:r>
    </w:p>
    <w:p>
      <w:pPr>
        <w:pStyle w:val="Heading2"/>
      </w:pPr>
      <w:r>
        <w:t>Adipositas mit Typ-2-Diabetes: CKD und Herzinsuffizienz-Risiko trotz niedrigerer Herz-Infarkt-Raten</w:t>
      </w:r>
    </w:p>
    <w:p>
      <w:r>
        <w:rPr>
          <w:i/>
          <w:color w:val="666666"/>
          <w:sz w:val="18"/>
        </w:rPr>
        <w:t>Ponzani P et al.  ·  Diabetes Res Clin Pract  ·  29.07.2026  ·  PMID 42526840</w:t>
      </w:r>
    </w:p>
    <w:p>
      <w:r>
        <w:t>Reale Daten von 519.005 Italienern mit Typ-2-Diabetes in 296 Zentren 2023 zur Assoziation von BMI-Kategorien mit Folgeerkrankungen.</w:t>
      </w:r>
    </w:p>
    <w:p>
      <w:r>
        <w:rPr>
          <w:b/>
        </w:rPr>
        <w:t xml:space="preserve">Ergebnis: </w:t>
      </w:r>
      <w:r>
        <w:t>Adipositas (35,4% der Kohorte) mit niedriger Rohprävalenz kardiovaskulärer Komplikationen, aber nach Anpassung assoziiert mit CKD (PR 1,13) und Herzinsuffizienz (PR 1,41). Atherotische Ereignisse schwächer. Paradoxe erklärt durch Confounding (jüngeres Alter, kürzere Diabetesdauer).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Routinedaten von spezialisiertem Diabetes-Versorgungsnetz; hochgradig auf deutsches System übertragbar.</w:t>
      </w:r>
    </w:p>
    <w:p>
      <w:r>
        <w:rPr>
          <w:color w:val="5A7D3A"/>
          <w:sz w:val="18"/>
        </w:rPr>
        <w:t>https://pubmed.ncbi.nlm.nih.gov/42526840/</w:t>
      </w:r>
    </w:p>
    <w:p>
      <w:pPr>
        <w:pStyle w:val="Heading2"/>
      </w:pPr>
      <w:r>
        <w:t>Semaglutide nach Gestationsdiabetes: Belgische RCT zur Typ-2-Prävention in Postpartum-Prä-Diabetes</w:t>
      </w:r>
    </w:p>
    <w:p>
      <w:r>
        <w:rPr>
          <w:i/>
          <w:color w:val="666666"/>
          <w:sz w:val="18"/>
        </w:rPr>
        <w:t>Vanlaer Y et al.  ·  BMJ Open  ·  23.07.2026  ·  PMID 42493207</w:t>
      </w:r>
    </w:p>
    <w:p>
      <w:r>
        <w:t>Protokoll der SERENA-RCT: Belgische Multicenterstudie mit 252 Frauen nach GDM und postpartum-Prä-Diabetes, randomisiert 1:1 zu Semaglutide 1mg/Woche oder Placebo plus Lebensstiländerung über 160 Wochen, Kosteneffektivität co-primär.</w:t>
      </w:r>
    </w:p>
    <w:p>
      <w:r>
        <w:rPr>
          <w:b/>
        </w:rPr>
        <w:t xml:space="preserve">Ergebnis: </w:t>
      </w:r>
      <w:r>
        <w:t>Protokoll registriert (NCT05569772), Rekrutung seit 9/2023 laufend. Primäres Outcome: Typ-2-Diabetes-Entwicklung nach ADA-Kriterien. Sekundär: Gewichtsverlust, Insulinsensitivität, Patientenergebnisse, Kosteneffektivität stratifiziert nach BMI (&lt;25, 25–29,9, ≥30).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GKV-ähnlich; Gesamtergebnis abzuwarten – Design sehr relevant für deutsche Prä-Diabetes-Prävention.</w:t>
      </w:r>
    </w:p>
    <w:p>
      <w:r>
        <w:rPr>
          <w:color w:val="5A7D3A"/>
          <w:sz w:val="18"/>
        </w:rPr>
        <w:t>https://pubmed.ncbi.nlm.nih.gov/42493207/</w:t>
      </w:r>
    </w:p>
    <w:p>
      <w:pPr>
        <w:pStyle w:val="Heading2"/>
      </w:pPr>
      <w:r>
        <w:t>Adipositasversorgung in Belgien: BMI nur zu 25% dokumentiert, Screening-Lücke in Hausarztpraxen</w:t>
      </w:r>
    </w:p>
    <w:p>
      <w:r>
        <w:rPr>
          <w:i/>
          <w:color w:val="666666"/>
          <w:sz w:val="18"/>
        </w:rPr>
        <w:t>van Laar ADE et al.  ·  Clin Obes  ·  Aug. 2026  ·  PMID 42487214</w:t>
      </w:r>
    </w:p>
    <w:p>
      <w:r>
        <w:t>Querschnittsvergleich Adipositas-Komplikationen zwischen belgischen Hausarztpraxen (Intego-Register, n=208.891) und spezialisierter Adipositasklinik (n=3.605).</w:t>
      </w:r>
    </w:p>
    <w:p>
      <w:r>
        <w:rPr>
          <w:b/>
        </w:rPr>
        <w:t xml:space="preserve">Ergebnis: </w:t>
      </w:r>
      <w:r>
        <w:t>BMI wird in Hausarztpraxen nur bei 25,6% dokumentiert. Patienten mit dokumentiertem BMI (MW 27,1 kg/m²) haben höhere Prävalenz von Hypertonie (30,1% vs. 17,0%), Schlafapnoe (3,8% vs. 1,5%) und Typ-2-Diabetes (12,7% vs. 4,4%) als ohne BMI-Eintrag. Adipositas-Klink-Patienten (BMI 39,0) zeigen Schlafapnoe in 37,9%.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Belgische GKV-ähnliche Routineversorgung; unmittelbar auf Deutschland übertragbar zur Qualitätssicherung.</w:t>
      </w:r>
    </w:p>
    <w:p>
      <w:r>
        <w:rPr>
          <w:color w:val="5A7D3A"/>
          <w:sz w:val="18"/>
        </w:rPr>
        <w:t>https://pubmed.ncbi.nlm.nih.gov/42487214/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2026-08-30T06:00:00Z</dcterms:created>
  <dcterms:modified xsi:type="dcterms:W3CDTF">2026-08-30T06:00:00Z</dcterms:modified>
  <cp:category/>
</cp:coreProperties>
</file>