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Adipositas</w:t>
      </w:r>
    </w:p>
    <w:p>
      <w:r>
        <w:rPr>
          <w:i/>
          <w:color w:val="666666"/>
          <w:sz w:val="18"/>
        </w:rPr>
        <w:t>Stand: 26.08.2026  |  15 Studien  |  adipositas.m-vf.de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Ecosyndemic Cluster in Niederlanden: Adipositas clustert räumlich mit Armut, schlechtem Umfeld und psychischer Belastung</w:t>
      </w:r>
    </w:p>
    <w:p>
      <w:r>
        <w:rPr>
          <w:i/>
          <w:color w:val="666666"/>
          <w:sz w:val="18"/>
        </w:rPr>
        <w:t>Muilwijk M et al.  ·  PLoS One  ·  14.08.2026  ·  PMID 42599915</w:t>
      </w:r>
    </w:p>
    <w:p>
      <w:r>
        <w:t>Niederländische Nachbarschafts-Clusteranalyse von 12.420 bewohnten administrativen Bezirken mit Daten zu Gesundheit, obesogener Umwelt und sozioökonomischem Status (2016).</w:t>
      </w:r>
    </w:p>
    <w:p>
      <w:r>
        <w:rPr>
          <w:b/>
        </w:rPr>
        <w:t xml:space="preserve">Ergebnis: </w:t>
      </w:r>
      <w:r>
        <w:t>Fünf Nachbarschaftscluster identifiziert. Der ‚Ecosyndemic Cluster' (n=1.070) zeigte höchste Adipositaslast (17 %), chronische Erkrankungen (36 %) und Angst/Depression (55 %), kombiniert mit ungünstiger Lebensmittelumgebung und niedriger sozioökonomischer Position. Der ‚Privilegierte Cluster' (n=6.425) hatte niedrigere Adipositasprävalenz (12 %). Räumliche Clusterung stark (Morans I=0,58).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System; dokumentiert räumliche Ungleichheit, relevant für Verhältnisprävention.</w:t>
      </w:r>
    </w:p>
    <w:p>
      <w:r>
        <w:rPr>
          <w:color w:val="5A7D3A"/>
          <w:sz w:val="18"/>
        </w:rPr>
        <w:t>https://pubmed.ncbi.nlm.nih.gov/42599915/</w:t>
      </w:r>
    </w:p>
    <w:p>
      <w:pPr>
        <w:pStyle w:val="Heading2"/>
      </w:pPr>
      <w:r>
        <w:t>Strukturelle Determinanten der Adipositas in England: Essensumgebung und Inaktivität, nicht städtisch-ländlich</w:t>
      </w:r>
    </w:p>
    <w:p>
      <w:r>
        <w:rPr>
          <w:i/>
          <w:color w:val="666666"/>
          <w:sz w:val="18"/>
        </w:rPr>
        <w:t>Hu Y  ·  PLoS One  ·  05.08.2026  ·  PMID 42555576</w:t>
      </w:r>
    </w:p>
    <w:p>
      <w:r>
        <w:t>Räumlich-ökonomische Analyse mit 151 englischen Upper-Tier-Local-Authorities (2023/24) mittels Spatial Error Model zur Identifikation von Adipositas-Determinanten und räumlicher Variabilität.</w:t>
      </w:r>
    </w:p>
    <w:p>
      <w:r>
        <w:rPr>
          <w:b/>
        </w:rPr>
        <w:t xml:space="preserve">Ergebnis: </w:t>
      </w:r>
      <w:r>
        <w:t>Adipositasprävalenz zeigte starkes räumliches Clustering (Morans I=0,58). Spatial Error Model (AICc 806,4) übertraf OLS und Geographically Weighted Regression; eliminierte Residualautokorrelation (Morans I=−0,03). Schnellimbiss-Dichte zeigte robuste negative Assoziation (Urban Paradox); physische Inaktivität und niedriger Obst-/Gemüsekonsum waren signifikante positive Treiber. Koeffizienten waren räumlich stationär, nicht heterogen.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comparable Sozialversicherungssystem; zeigt, dass nationale Strukturinterventionen (nicht ort-spezifische) erforderlich sind.</w:t>
      </w:r>
    </w:p>
    <w:p>
      <w:r>
        <w:rPr>
          <w:color w:val="5A7D3A"/>
          <w:sz w:val="18"/>
        </w:rPr>
        <w:t>https://pubmed.ncbi.nlm.nih.gov/42555576/</w:t>
      </w:r>
    </w:p>
    <w:p>
      <w:pPr>
        <w:pStyle w:val="Heading2"/>
      </w:pPr>
      <w:r>
        <w:t>Adipositas in der Kindheit verzögert Geburtsalter im Erwachsenenalter, besonders ab Alter 35</w:t>
      </w:r>
    </w:p>
    <w:p>
      <w:r>
        <w:rPr>
          <w:i/>
          <w:color w:val="666666"/>
          <w:sz w:val="18"/>
        </w:rPr>
        <w:t>Pedersen DC et al.  ·  JAMA Netw Open  ·  03.08.2026  ·  PMID 42550510</w:t>
      </w:r>
    </w:p>
    <w:p>
      <w:r>
        <w:t>Dänische bevölkerungsbasierte Längsschnittstudie von 60.864 Frauen mit Schulgesundheitsdaten (Alter 6–15 Jahre) und Reproduktionsoutcomes bis 2022; BMI-Trajektorienanalyse mit Cox-Regression.</w:t>
      </w:r>
    </w:p>
    <w:p>
      <w:r>
        <w:rPr>
          <w:b/>
        </w:rPr>
        <w:t xml:space="preserve">Ergebnis: </w:t>
      </w:r>
      <w:r>
        <w:t>Frauen mit Adipositas-Trajektorie in der Kindheit hatten niedrigere Hazard-Ratios für Geburten als Frauen mit Normalgew icht, abnehmend mit steigendem Alter (Alter 25–29 Jahre: HR 0,78; Alter 35–45 Jahre: HR 0,56). Keine Assoziation mit primärer oder jeglicher Infertilität. Verzögerung der Erstgeburt nahm mit Alter zu, besonders im späteren reproduktiven Fenster.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Sozialversicherungssystem; dokumentiert langfristige Reproduktionsfolgen von Kindheitsobesitas.</w:t>
      </w:r>
    </w:p>
    <w:p>
      <w:r>
        <w:rPr>
          <w:color w:val="5A7D3A"/>
          <w:sz w:val="18"/>
        </w:rPr>
        <w:t>https://pubmed.ncbi.nlm.nih.gov/42550510/</w:t>
      </w:r>
    </w:p>
    <w:p>
      <w:pPr>
        <w:pStyle w:val="Heading1"/>
      </w:pPr>
      <w:r>
        <w:t>Aufgenommen am 25.08.2026</w:t>
      </w:r>
    </w:p>
    <w:p>
      <w:pPr>
        <w:pStyle w:val="Heading2"/>
      </w:pPr>
      <w:r>
        <w:t>Rauchen, Alkohol und freies Essen vorhersagen Kurzschlaf und Übergewicht in der Adoleszenz</w:t>
      </w:r>
    </w:p>
    <w:p>
      <w:r>
        <w:rPr>
          <w:i/>
          <w:color w:val="666666"/>
          <w:sz w:val="18"/>
        </w:rPr>
        <w:t>Gale EL et al.  ·  Pediatr Obes  ·  Aug. 2026  ·  PMID 42554343</w:t>
      </w:r>
    </w:p>
    <w:p>
      <w:r>
        <w:t>Sekundäranalyse der Growing Up in Scotland Birth Cohort 1 von 4157 Kindern (50,2% männlich, 10-14 Jahre) zu gemeinsamen Determinanten von Kurzschlaf und erhöhter BMIp im Alter von 14 Jahren.</w:t>
      </w:r>
    </w:p>
    <w:p>
      <w:r>
        <w:rPr>
          <w:b/>
        </w:rPr>
        <w:t xml:space="preserve">Ergebnis: </w:t>
      </w:r>
      <w:r>
        <w:t>Probiertes Rauchen und Alkohol im Alter von 12 Jahren sowie unbegrenztes Essen ab 10 Jahren waren bedeutsam (β≥|0,10|) mit kürzerem Schlaf und höherer BMIp bei 14 Jahren assoziiert. Maternaler BMI war nur mit BMIp assoziiert; schlechteres emotionales Wohlbefinden und Zuckergetränk-Konsum nur mit Kurzschlaf.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Schottland, UK-Biobank; Präventionsperspektive auf Verhaltensrisiken in Europa übertragbar.</w:t>
      </w:r>
    </w:p>
    <w:p>
      <w:r>
        <w:rPr>
          <w:color w:val="5A7D3A"/>
          <w:sz w:val="18"/>
        </w:rPr>
        <w:t>https://pubmed.ncbi.nlm.nih.gov/42554343/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Motorische Aktivität bei Kindern mit Adipositas nach strukturierter Bewegungsverschreibung: geringe Effekte, hohe Zufriedenheit</w:t>
      </w:r>
    </w:p>
    <w:p>
      <w:r>
        <w:rPr>
          <w:i/>
          <w:color w:val="666666"/>
          <w:sz w:val="18"/>
        </w:rPr>
        <w:t>Törnqvist J et al.  ·  BMC Public Health  ·  20.08.2026  ·  PMID 42625158</w:t>
      </w:r>
    </w:p>
    <w:p>
      <w:r>
        <w:t>Schwedische Interventionsstudie zu einem strukturierten Programm mit individueller Beratung und Bewegungsverschreibung bei 42 Kindern (6–12 Jahre) mit Adipositas über 4 Monate.</w:t>
      </w:r>
    </w:p>
    <w:p>
      <w:r>
        <w:rPr>
          <w:b/>
        </w:rPr>
        <w:t xml:space="preserve">Ergebnis: </w:t>
      </w:r>
      <w:r>
        <w:t>Keine signifikanten Änderungen der Aktivitätsmuster nach Intervention (32 gültige Accelerometer-Datensätze), Abbruchquote 16,7 %, aber hohe Zufriedenheit bei Kindern und Eltern. Die limitierte Power und kurze Dauer könnten das Fehlen von Effekten erklären.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ähnliches öffentliches Versorgungssystem mit Primärversorgung und spezialisierter Begleitung.</w:t>
      </w:r>
    </w:p>
    <w:p>
      <w:r>
        <w:rPr>
          <w:color w:val="5A7D3A"/>
          <w:sz w:val="18"/>
        </w:rPr>
        <w:t>https://pubmed.ncbi.nlm.nih.gov/42625158/</w:t>
      </w:r>
    </w:p>
    <w:p>
      <w:pPr>
        <w:pStyle w:val="Heading2"/>
      </w:pPr>
      <w:r>
        <w:t>Chirurgische Komplikationen in der Schwangerschaft nach Adipositaschirurgie: belgische Kohortenstudie zu Risiken und Outcomes</w:t>
      </w:r>
    </w:p>
    <w:p>
      <w:r>
        <w:rPr>
          <w:i/>
          <w:color w:val="666666"/>
          <w:sz w:val="18"/>
        </w:rPr>
        <w:t>De Mulder P et al.  ·  BMJ Open  ·  20.08.2026  ·  PMID 42624584</w:t>
      </w:r>
    </w:p>
    <w:p>
      <w:r>
        <w:t>Prospektive Kohortenstudie aus belgischen Geburtskliniken (65 % aller Geburten erfasst) zu chirurgischen Komplikationen in der Schwangerschaft nach bariatrischer Chirurgie (2021–2022).</w:t>
      </w:r>
    </w:p>
    <w:p>
      <w:r>
        <w:rPr>
          <w:b/>
        </w:rPr>
        <w:t xml:space="preserve">Ergebnis: </w:t>
      </w:r>
      <w:r>
        <w:t>33 Frauen mit 35 chirurgischen Komplikationen; interne Herniation am häufigsten (n=25) nach Roux-en-Y-Bypass. Alle binnen 24 h operiert, kein Todesfall, aber 48,5 % Kaiserschnitt und 13 Frühgeburten. Frühe chirurgische Intervention war mit niedriger mütterlicher Morbidität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europäisches Versicherungssystem mit spezialisierter Perinatalversorgung.</w:t>
      </w:r>
    </w:p>
    <w:p>
      <w:r>
        <w:rPr>
          <w:color w:val="5A7D3A"/>
          <w:sz w:val="18"/>
        </w:rPr>
        <w:t>https://pubmed.ncbi.nlm.nih.gov/42624584/</w:t>
      </w:r>
    </w:p>
    <w:p>
      <w:pPr>
        <w:pStyle w:val="Heading2"/>
      </w:pPr>
      <w:r>
        <w:t>Verhaltensbezogene Risikofaktoren bei älteren Erwachsenen in Deutschland: Nationale Gesundheit 65+</w:t>
      </w:r>
    </w:p>
    <w:p>
      <w:r>
        <w:rPr>
          <w:i/>
          <w:color w:val="666666"/>
          <w:sz w:val="18"/>
        </w:rPr>
        <w:t>Gaertner B et al.  ·  BMC Geriatr  ·  12.08.2026  ·  PMID 42587280</w:t>
      </w:r>
    </w:p>
    <w:p>
      <w:r>
        <w:t>Deutsche nationale Querschnittsstudie der Gesundheit 65+ (2021–2022) zu Prävalenz von fünf Verhaltensrisikofaktoren und deren Kombinationen bei 3.139 älteren Erwachsenen.</w:t>
      </w:r>
    </w:p>
    <w:p>
      <w:r>
        <w:rPr>
          <w:b/>
        </w:rPr>
        <w:t xml:space="preserve">Ergebnis: </w:t>
      </w:r>
      <w:r>
        <w:t>78,4 % körperlich inaktiv, 71,8 % unzureichend Gemüse/Obst, 56,3 % Alkoholverzehr, 21,0 % Adipositas, 9,9 % Rauchen. Durchschnitt 2,4 Risikofaktoren; 83,1 % mehrfach belastet. Häufigste Kombination: Alkohol + Ernährung + Inaktivität (21,8 %).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Stichprobendesign für ältere Erwachsene, gültig für deutsches Gesundheitswesen.</w:t>
      </w:r>
    </w:p>
    <w:p>
      <w:r>
        <w:rPr>
          <w:color w:val="5A7D3A"/>
          <w:sz w:val="18"/>
        </w:rPr>
        <w:t>https://pubmed.ncbi.nlm.nih.gov/42587280/</w:t>
      </w:r>
    </w:p>
    <w:p>
      <w:pPr>
        <w:pStyle w:val="Heading2"/>
      </w:pPr>
      <w:r>
        <w:t>Gewichtsabnahme in der niederländischen Primärversorgung: Diätetische Intensität früh entscheidend für 5%-Ziel</w:t>
      </w:r>
    </w:p>
    <w:p>
      <w:r>
        <w:rPr>
          <w:i/>
          <w:color w:val="666666"/>
          <w:sz w:val="18"/>
        </w:rPr>
        <w:t>van de Riet A et al.  ·  Clin Obes  ·  Okt. 2026  ·  PMID 42581663</w:t>
      </w:r>
    </w:p>
    <w:p>
      <w:r>
        <w:t>Retrospektive niederländische Kohortenstudie zu Gewichtsabnahme ≥5 % (klinisch relevant) in der Primärversorgung bei 4.503 Erwachsenen mit Adipositas unter diätetischer Behandlung 2016–2020.</w:t>
      </w:r>
    </w:p>
    <w:p>
      <w:r>
        <w:rPr>
          <w:b/>
        </w:rPr>
        <w:t xml:space="preserve">Ergebnis: </w:t>
      </w:r>
      <w:r>
        <w:t>33 % erreichten ≥5 % Gewichtsabnahme, 60 % davon in den ersten 3 Monaten. Jeder zusätzliche Besuch in den ersten 3 Monaten assoziiert mit dreifacher höherer Erfolgsquote (OR 3,0), in Monaten 3–6 mit 61 % höherer Quote. Frühe Behandlungsintensität ist Schlüsselprediktor.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mit Primärversorgung und spezialisierter Diätetik.</w:t>
      </w:r>
    </w:p>
    <w:p>
      <w:r>
        <w:rPr>
          <w:color w:val="5A7D3A"/>
          <w:sz w:val="18"/>
        </w:rPr>
        <w:t>https://pubmed.ncbi.nlm.nih.gov/42581663/</w:t>
      </w:r>
    </w:p>
    <w:p>
      <w:pPr>
        <w:pStyle w:val="Heading2"/>
      </w:pPr>
      <w:r>
        <w:t>Klinische vs. präklinische Adipositas: Neue Definitionen zeigen unterschiedliche Morbiditätslasten bei Chirurgie-Kandidaten</w:t>
      </w:r>
    </w:p>
    <w:p>
      <w:r>
        <w:rPr>
          <w:i/>
          <w:color w:val="666666"/>
          <w:sz w:val="18"/>
        </w:rPr>
        <w:t>Cremona S et al.  ·  JAMA Netw Open  ·  03.08.2026  ·  PMID 42579277</w:t>
      </w:r>
    </w:p>
    <w:p>
      <w:r>
        <w:t>Internationale multizentrische Querschnittsstudie von 2.316 Patienten, die sich einer bariatrischen Chirurgie (2014–2025) in Großbritannien, Spanien, Frankreich und Brasilien unterzogen, zum Vergleich klinischer (73,8 %) vs. präklinischer Adipositas (26,2 %) hinsichtlich Organschäden und perioperativer Risiken.</w:t>
      </w:r>
    </w:p>
    <w:p>
      <w:r>
        <w:rPr>
          <w:b/>
        </w:rPr>
        <w:t xml:space="preserve">Ergebnis: </w:t>
      </w:r>
      <w:r>
        <w:t>Klinische Adipositas in allen Zentren häufiger (62,7–79,3 %). Trotz ähnlicher BMI-Verteilung: Patienten mit klinischer Adipositas älter, höhere ASA-Klasse, höheres kardiovaskuläres Risiko und Komorbiditäten. Erhöhtes Risiko für Komplikationen Grad ≥3 in Frankreich (4,0 % vs. 1,1 %, p=0,04). Die neue Definition unterscheidet nicht nur durch Gewicht, sondern durch Organdysfunktion.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Multinational, aber Erkenntnis zur Phänotypisierung unabhängig von Kostenübernahme, relevant für deutsches Verfahren zur Einzelfallgenehmigung.</w:t>
      </w:r>
    </w:p>
    <w:p>
      <w:r>
        <w:rPr>
          <w:color w:val="5A7D3A"/>
          <w:sz w:val="18"/>
        </w:rPr>
        <w:t>https://pubmed.ncbi.nlm.nih.gov/42579277/</w:t>
      </w:r>
    </w:p>
    <w:p>
      <w:pPr>
        <w:pStyle w:val="Heading2"/>
      </w:pPr>
      <w:r>
        <w:t>Subsidierte Semaglutide bei isländischen Kindern mit Adipositas: Gewichtsverlauf unter universeller Erstattung</w:t>
      </w:r>
    </w:p>
    <w:p>
      <w:r>
        <w:rPr>
          <w:i/>
          <w:color w:val="666666"/>
          <w:sz w:val="18"/>
        </w:rPr>
        <w:t>Thorsteinsdottir S et al.  ·  Pediatr Obes  ·  Aug. 2026  ·  PMID 42543796</w:t>
      </w:r>
    </w:p>
    <w:p>
      <w:r>
        <w:t>Isländische nationale Kohortenstudie zu klinischen Outcomes unter subsidierter Semaglutide bei 113 Kindern (≥12 Jahre) mit Adipositas Grad 2 von März 2021 bis Juni 2025.</w:t>
      </w:r>
    </w:p>
    <w:p>
      <w:r>
        <w:rPr>
          <w:b/>
        </w:rPr>
        <w:t xml:space="preserve">Ergebnis: </w:t>
      </w:r>
      <w:r>
        <w:t>Semaglutide kehrte bestehenden aufwärts gerichteten Gewichtstrend um: −0,86 %IOTF30/Monat (95% KI −1,06 bis −0,66). Nach 6 Monaten −5,17 pp, nach 12 Monaten −10,33 pp. 63 % erreichten ≥10 pp Reduktion. Neurodevelopmentale Störungen modifizierten Antwort nicht signifikant (Analyse unterpowered). Universelle Erstattung ermöglichte hohe Persistenz.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Island, universelles Erstattungssystem für GLP-1 RA bei Kindern – direktes Modell für Politikansätze jenseits restriktiver SGB-V-Regelung.</w:t>
      </w:r>
    </w:p>
    <w:p>
      <w:r>
        <w:rPr>
          <w:color w:val="5A7D3A"/>
          <w:sz w:val="18"/>
        </w:rPr>
        <w:t>https://pubmed.ncbi.nlm.nih.gov/42543796/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Semaglutid reduzierte Kognitives Leistungsdefizit bei Erwachsenen mit psychiatrischen Diagnosen</w:t>
      </w:r>
    </w:p>
    <w:p>
      <w:r>
        <w:rPr>
          <w:i/>
          <w:color w:val="666666"/>
          <w:sz w:val="18"/>
        </w:rPr>
        <w:t>De Giorgi R et al.  ·  BMJ Ment Health  ·  20.08.2026  ·  PMID 42624612</w:t>
      </w:r>
    </w:p>
    <w:p>
      <w:r>
        <w:t>Retrospektive Kohortenstudie (US EHR-Daten, 13 007 Patienten mit psychiatrischen Diagnosen) verglich Semaglutid mit anderen Antidiabetika bezüglich 12-Monats-Veränderungen eines klinisch bewerteten kognitiven Composite-Scores (0–100 Skala).</w:t>
      </w:r>
    </w:p>
    <w:p>
      <w:r>
        <w:rPr>
          <w:b/>
        </w:rPr>
        <w:t xml:space="preserve">Ergebnis: </w:t>
      </w:r>
      <w:r>
        <w:t>Unter Semaglutid betrug der mittlere kognitive Symptom-Score 11,14 vs. 14,91 (Kontrolle), entsprechend MR 0,75 (95%-CI 0,65–0,85, p = 0,00002), 13,46 (Glipizid, MR 0,83, p = 0,041) und 13,69 (Empagliflozin, MR 0,81, p = 0,016). Stärkere Effekte bei Memory und Depression.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USA-EHR-Daten; Befund zu kognitiven Funktionen jenseits der Glykämie versorgungsunabhängig, aber Semaglutid-Zugang in Deutschland § 34 SGB V ausgeschlossen.</w:t>
      </w:r>
    </w:p>
    <w:p>
      <w:r>
        <w:rPr>
          <w:color w:val="5A7D3A"/>
          <w:sz w:val="18"/>
        </w:rPr>
        <w:t>https://pubmed.ncbi.nlm.nih.gov/42624612/</w:t>
      </w:r>
    </w:p>
    <w:p>
      <w:pPr>
        <w:pStyle w:val="Heading2"/>
      </w:pPr>
      <w:r>
        <w:t>Diabetes, Adipositas und metabolisches Syndrom verschärfen alkoholassoziierte Lebererkrankung erheblich</w:t>
      </w:r>
    </w:p>
    <w:p>
      <w:r>
        <w:rPr>
          <w:i/>
          <w:color w:val="666666"/>
          <w:sz w:val="18"/>
        </w:rPr>
        <w:t>Peddu DK et al.  ·  Hepatol Commun  ·  01.09.2026  ·  PMID 42623525</w:t>
      </w:r>
    </w:p>
    <w:p>
      <w:r>
        <w:t>Systematische Übersicht (19 Studien, 132 054 Patienten mit alkoholassoziierter Lebererkrankung) zu Auswirkungen von Diabetes, Adipositas und metabolischem Syndrom auf Leberprognose.</w:t>
      </w:r>
    </w:p>
    <w:p>
      <w:r>
        <w:rPr>
          <w:b/>
        </w:rPr>
        <w:t xml:space="preserve">Ergebnis: </w:t>
      </w:r>
      <w:r>
        <w:t>Diabetes erhöhte Gesamtmortalität (aHR 3,00), leberbedingte Mortalität (aHR 3,60) und HCC-Risiko (HR 1,6–21,7). Erhöhtes BMI verdoppelte kardiovaskuläre Mortalität (aHR 3,76) und HCC-Inzidenz (HR 2,0–2,9). Höhere Komorbiditätsbelastung korrelierte mit reduzierter transplantationsfreier Überlebenszeit.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USA und internationale Daten; Befund zur Verschärfung der Prognose versorgungsunabhängig relevant.</w:t>
      </w:r>
    </w:p>
    <w:p>
      <w:r>
        <w:rPr>
          <w:color w:val="5A7D3A"/>
          <w:sz w:val="18"/>
        </w:rPr>
        <w:t>https://pubmed.ncbi.nlm.nih.gov/42623525/</w:t>
      </w:r>
    </w:p>
    <w:p>
      <w:pPr>
        <w:pStyle w:val="Heading2"/>
      </w:pPr>
      <w:r>
        <w:t>Mediterrane Ernährung versus Energierestriktion: keine Gewichtsvorteil nach 2 Jahren</w:t>
      </w:r>
    </w:p>
    <w:p>
      <w:r>
        <w:rPr>
          <w:i/>
          <w:color w:val="666666"/>
          <w:sz w:val="18"/>
        </w:rPr>
        <w:t>Keyserling TC et al.  ·  JAMA Netw Open  ·  03.08.2026  ·  PMID 42623075</w:t>
      </w:r>
    </w:p>
    <w:p>
      <w:r>
        <w:t>Randomisierte Studie (DELISH) verglich über 24 Monate eine mediterran geprägte Gewichtsabnahmeintervention mit kontrollierter WW-basierter Energierestriktion bei 360 Patienten mit BMI ≥ 30 aus Primärversorgung.</w:t>
      </w:r>
    </w:p>
    <w:p>
      <w:r>
        <w:rPr>
          <w:b/>
        </w:rPr>
        <w:t xml:space="preserve">Ergebnis: </w:t>
      </w:r>
      <w:r>
        <w:t>Gewichtsabnahme war zwischen Gruppen identisch: –3,40 % (mediterranes Programm) vs. –3,51 % (Kontrolle), Differenz 0,11 % (p = 0,90). Mediterrane Gruppe erreichte bessere Ernährungsqualität (AHEI +3,62 Punkte, p = 0,005), aber keine Gewichtsvorteil.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jedoch primäre Outcome (Gewichtsabnahme) ist versorgungsunabhängig übertragbar.</w:t>
      </w:r>
    </w:p>
    <w:p>
      <w:r>
        <w:rPr>
          <w:color w:val="5A7D3A"/>
          <w:sz w:val="18"/>
        </w:rPr>
        <w:t>https://pubmed.ncbi.nlm.nih.gov/42623075/</w:t>
      </w:r>
    </w:p>
    <w:p>
      <w:pPr>
        <w:pStyle w:val="Heading2"/>
      </w:pPr>
      <w:r>
        <w:t>Life's Essential 8 Scores und fortgeschrittenes kardiovaskulär-renal-metabolisches Syndrom: Nationale Querschnittsanalyse Korea</w:t>
      </w:r>
    </w:p>
    <w:p>
      <w:r>
        <w:rPr>
          <w:i/>
          <w:color w:val="666666"/>
          <w:sz w:val="18"/>
        </w:rPr>
        <w:t>Lim JA et al.  ·  Front Endocrinol (Lausanne)  ·  05.08.2026  ·  PMID 42620640</w:t>
      </w:r>
    </w:p>
    <w:p>
      <w:r>
        <w:t>Querschnittsanalyse von 17 351 koreanischen Erwachsenen (Korea NHNES 2019–2021, 2024) zur Assoziation von Verhaltens- und Gesundheitsfaktoren (Life's Essential 8) mit Stadium ≥3 des kardiovaskulär-renal-metabolischen Syndroms.</w:t>
      </w:r>
    </w:p>
    <w:p>
      <w:r>
        <w:rPr>
          <w:b/>
        </w:rPr>
        <w:t xml:space="preserve">Ergebnis: </w:t>
      </w:r>
      <w:r>
        <w:t>Jede 10-Punkte-Erhöhung des LE8-Scores reduzierte das Risiko für fortgeschrittenes CKM um aOR 0,765 (95%-CI 0,716–0,818). Personen im niedrigsten LE8-Quintil hatten 3,32-fach höhere Odds als im höchsten (95%-CI 2,30–4,80). Verhaltenskomponenten blieben über alle CKM-Stadien stabil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Korea mit ähnlichem Dokumentationssystem; Asien, aber Bevölkerungsmessungen auf NHANES-Basis anwendbar.</w:t>
      </w:r>
    </w:p>
    <w:p>
      <w:r>
        <w:rPr>
          <w:color w:val="5A7D3A"/>
          <w:sz w:val="18"/>
        </w:rPr>
        <w:t>https://pubmed.ncbi.nlm.nih.gov/42620640/</w:t>
      </w:r>
    </w:p>
    <w:p>
      <w:pPr>
        <w:pStyle w:val="Heading2"/>
      </w:pPr>
      <w:r>
        <w:t>COVID-19-Lockdown erhöhte BMI bei Kindern, jüngere Kinder zeigen verzögerten Rückgang</w:t>
      </w:r>
    </w:p>
    <w:p>
      <w:r>
        <w:rPr>
          <w:i/>
          <w:color w:val="666666"/>
          <w:sz w:val="18"/>
        </w:rPr>
        <w:t>Mukasa R et al.  ·  Pediatr Int  ·  Jan. 2026  ·  PMID 42619363</w:t>
      </w:r>
    </w:p>
    <w:p>
      <w:r>
        <w:t>Längsschnittstudie anhand von Schulgesundheitsuntersuchungen in Japan (n = 711 Kinder, Messungen April 2018–April 2021) zu Alter- und Geschlechtsspezifischen BMI-Veränderungen während Lockdown und Erholung.</w:t>
      </w:r>
    </w:p>
    <w:p>
      <w:r>
        <w:rPr>
          <w:b/>
        </w:rPr>
        <w:t xml:space="preserve">Ergebnis: </w:t>
      </w:r>
      <w:r>
        <w:t>Während Lockdown stiegen BMI bei Jungen (16,60 auf 17,08 kg/m², p = 0,04) und Mädchen (16,39 auf 16,78 kg/m², p = 0,03). Kinder der Klasse 2 (7–8 Jahre) zeigten 10 Monate nach Lockdown anhaltende BMI-SDS-Erhöhungen (beide Geschlechter p &lt; 0,01); ältere Kinder erholten sich besser mit deutlichen Geschlechtsunterschieden (p &lt; 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vergleichbare Schulgesundheitsdokumentation; Befund zu altersgestaffelten Reaktionen auf Lebensstilstörung übertragbar.</w:t>
      </w:r>
    </w:p>
    <w:p>
      <w:r>
        <w:rPr>
          <w:color w:val="5A7D3A"/>
          <w:sz w:val="18"/>
        </w:rPr>
        <w:t>https://pubmed.ncbi.nlm.nih.gov/42619363/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Adipositas</dc:title>
  <dc:subject/>
  <dc:creator>Monitor Versorgungsforschung</dc:creator>
  <cp:keywords/>
  <dc:description>generated by python-docx</dc:description>
  <cp:lastModifiedBy/>
  <cp:revision>1</cp:revision>
  <dcterms:created xsi:type="dcterms:W3CDTF">2026-08-26T06:00:00Z</dcterms:created>
  <dcterms:modified xsi:type="dcterms:W3CDTF">2026-08-26T06:00:00Z</dcterms:modified>
  <cp:category/>
</cp:coreProperties>
</file>