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21.09.2026  |  7 Studien  |  adipositas.m-vf.de</w:t>
      </w:r>
    </w:p>
    <w:p>
      <w:pPr>
        <w:pStyle w:val="Heading1"/>
      </w:pPr>
      <w:r>
        <w:t>Aufgenommen am 21.09.2026</w:t>
      </w:r>
    </w:p>
    <w:p>
      <w:pPr>
        <w:pStyle w:val="Heading2"/>
      </w:pPr>
      <w:r>
        <w:t>Liraglutide halbierte Rate unerwünschter Wirkungen, Gewichtsverlust 8,5 kg über 26 Wochen in Taiwan</w:t>
      </w:r>
    </w:p>
    <w:p>
      <w:r>
        <w:rPr>
          <w:i/>
          <w:color w:val="666666"/>
          <w:sz w:val="18"/>
        </w:rPr>
        <w:t>Tu ST et al.  ·  Endocrinol Diabetes Metab  ·  Sept. 2026  ·  PMID 42762462</w:t>
      </w:r>
    </w:p>
    <w:p>
      <w:r>
        <w:t>Prospektive Post-Marketing-Überwachung von Liraglutid (GLP-1-Rezeptoragonist) bei 259 Erwachsenen mit Adipositas in Taiwan über 26 Wochen mit Erfassung von Sicherheit und Gewichtsveränderung.</w:t>
      </w:r>
    </w:p>
    <w:p>
      <w:r>
        <w:rPr>
          <w:b/>
        </w:rPr>
        <w:t xml:space="preserve">Ergebnis: </w:t>
      </w:r>
      <w:r>
        <w:t>Unerwünschte Ereignisse in 11,2 % (90,9 % mild); Gewichtsverlust Woche 13: −5,7 ± 3,5 kg, Woche 26: −8,5 ± 5,7 kg; ≥5 % Gewichtsabnahme bei 76,7 % in Woche 26; Blutdrucksenkung 10,4 ± 18,9 mmHg. Hauptbarriere: Medikamentenkosten (49,0 % Dosiseskalation nicht durchgeführt).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Taiwan – asymmetrische Kostenübernahme, in Deutschland ausgeschlossen</w:t>
      </w:r>
    </w:p>
    <w:p>
      <w:r>
        <w:rPr>
          <w:color w:val="5A7D3A"/>
          <w:sz w:val="18"/>
        </w:rPr>
        <w:t>https://pubmed.ncbi.nlm.nih.gov/42762462/</w:t>
      </w:r>
    </w:p>
    <w:p>
      <w:pPr>
        <w:pStyle w:val="Heading2"/>
      </w:pPr>
      <w:r>
        <w:t>Ernährungs-Verhaltens-Risiko-Index zeigte Dosis-Wirkung mit metabolischem Syndrom in Südchina</w:t>
      </w:r>
    </w:p>
    <w:p>
      <w:r>
        <w:rPr>
          <w:i/>
          <w:color w:val="666666"/>
          <w:sz w:val="18"/>
        </w:rPr>
        <w:t>Qiu J et al.  ·  Front Endocrinol (Lausanne)  ·  04.09.2026  ·  PMID 42760998</w:t>
      </w:r>
    </w:p>
    <w:p>
      <w:r>
        <w:t>Querschnittsstudie an 14.269 ländlichen Einwohnern in Nordwestchina; Konstruktion eines Ernährungs-Verhaltens-Risiko-Index (DBRI) mittels Alkire-Foster-Methode und Assoziationen mit metabolischem Syndrom.</w:t>
      </w:r>
    </w:p>
    <w:p>
      <w:r>
        <w:rPr>
          <w:b/>
        </w:rPr>
        <w:t xml:space="preserve">Ergebnis: </w:t>
      </w:r>
      <w:r>
        <w:t>DBRI quartil 4 versus 1: OR 2,61 (95%-KI: 2,29–2,98); dose-response-beziehung signifikant (p&lt;0,001); nichtlineare beziehung mit schwellenwerteffekt nahe DBRI ≈ 0,5; Lifestyle- und Ernährungsqualitäts-Score korreliert mit MetS-Prävalenz.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– unterschiedliche Population, vergleichbare Erhebungsmethoden</w:t>
      </w:r>
    </w:p>
    <w:p>
      <w:r>
        <w:rPr>
          <w:color w:val="5A7D3A"/>
          <w:sz w:val="18"/>
        </w:rPr>
        <w:t>https://pubmed.ncbi.nlm.nih.gov/42760998/</w:t>
      </w:r>
    </w:p>
    <w:p>
      <w:pPr>
        <w:pStyle w:val="Heading2"/>
      </w:pPr>
      <w:r>
        <w:t>Adipositaschirurgie verminderte Leberfibrose, hinterließ aber persistierende Immunaktivierung nach 6 Jahren</w:t>
      </w:r>
    </w:p>
    <w:p>
      <w:r>
        <w:rPr>
          <w:i/>
          <w:color w:val="666666"/>
          <w:sz w:val="18"/>
        </w:rPr>
        <w:t>Onoiu AI et al.  ·  Front Immunol  ·  03.09.2026  ·  PMID 42756162</w:t>
      </w:r>
    </w:p>
    <w:p>
      <w:r>
        <w:t>Immunhistochemische Analyse von Leberbiopsien aus 3 Gruppen: Adipositas mit Leberschaden vor und nach Adipositaschirurgie, und Adipositas ohne signifikante Leberschädigung; Charakterisierung des hepatischen Immunmikromilieus.</w:t>
      </w:r>
    </w:p>
    <w:p>
      <w:r>
        <w:rPr>
          <w:b/>
        </w:rPr>
        <w:t xml:space="preserve">Ergebnis: </w:t>
      </w:r>
      <w:r>
        <w:t>Nach Chirurgie: BMI-Reduktion, Verbesserung der Leberhistologie, aber persistierende lobuläre Entzündung (Median 6 Jahre FU); erhöhte CD15+-, CD56+-, CD68+-, CD163+- und CD4+-Zellen; adaptive Immunabwehr verstärkt; "nicht-normalisiertes" Immunmprofil post-OP.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Spanien/Katalonien – vergleichbare Adipositaschirurgie-Infrastruktur</w:t>
      </w:r>
    </w:p>
    <w:p>
      <w:r>
        <w:rPr>
          <w:color w:val="5A7D3A"/>
          <w:sz w:val="18"/>
        </w:rPr>
        <w:t>https://pubmed.ncbi.nlm.nih.gov/42756162/</w:t>
      </w:r>
    </w:p>
    <w:p>
      <w:pPr>
        <w:pStyle w:val="Heading2"/>
      </w:pPr>
      <w:r>
        <w:t>Orforglipron 36 mg zeigte größere Gewichtsverluste als 12 mg bei vergleichbarem Sicherheitsprofil</w:t>
      </w:r>
    </w:p>
    <w:p>
      <w:r>
        <w:rPr>
          <w:i/>
          <w:color w:val="666666"/>
          <w:sz w:val="18"/>
        </w:rPr>
        <w:t>Hegaz MG et al.  ·  BMC Endocr Disord  ·  15.09.2026  ·  PMID 42750018</w:t>
      </w:r>
    </w:p>
    <w:p>
      <w:r>
        <w:t>Systematische Übersichtsarbeit und Meta-Analyse von 6 RCTs mit 3459 Patienten, die Orforglipron 12 mg versus 36 mg in Adipositas ± Diabetes verglichen.</w:t>
      </w:r>
    </w:p>
    <w:p>
      <w:r>
        <w:rPr>
          <w:b/>
        </w:rPr>
        <w:t xml:space="preserve">Ergebnis: </w:t>
      </w:r>
      <w:r>
        <w:t>36 mg versus 12 mg: Gewichtsverlust −2,2 % (p&lt;0,00001); HbA1c-Reduktion unterschiedlich je Diabetes-Status; Waistumfang-Reduktion signifikant; unerwünschte Ereignisse vergleichbar; kleine ALT/AST-Erhöhungen bei 36 mg.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Generische Frage zu GLP-1, in Deutschland nicht kostenerstattet</w:t>
      </w:r>
    </w:p>
    <w:p>
      <w:r>
        <w:rPr>
          <w:color w:val="5A7D3A"/>
          <w:sz w:val="18"/>
        </w:rPr>
        <w:t>https://pubmed.ncbi.nlm.nih.gov/42750018/</w:t>
      </w:r>
    </w:p>
    <w:p>
      <w:pPr>
        <w:pStyle w:val="Heading2"/>
      </w:pPr>
      <w:r>
        <w:t>ZTV rs10968110 und FTO rs1558902 assoziiert mit Adipositas in klinischer Psoriasis-Kohorte</w:t>
      </w:r>
    </w:p>
    <w:p>
      <w:r>
        <w:rPr>
          <w:i/>
          <w:color w:val="666666"/>
          <w:sz w:val="18"/>
        </w:rPr>
        <w:t>Zhumabekova B et al.  ·  Medicina (Kaunas)  ·  26.07.2026  ·  PMID 42654346</w:t>
      </w:r>
    </w:p>
    <w:p>
      <w:r>
        <w:t>Querschnittsstudie mit 150 kasachischen Patienten mit Psoriasis (75 Übergewicht/Adipositas, 75 Kontrollen); genetische und metabolische Korrelationen mit Adipositas untersucht.</w:t>
      </w:r>
    </w:p>
    <w:p>
      <w:r>
        <w:rPr>
          <w:b/>
        </w:rPr>
        <w:t xml:space="preserve">Ergebnis: </w:t>
      </w:r>
      <w:r>
        <w:t>Im multivariaten Modell: Triglyceride OR 4,73 (95%-KI 1,36–18,57), HbA1c OR 1,71 (95%-KI 1,09–2,91), HDL-C OR 0,36 (95%-KI 0,18–0,66); ZTV rs10968110 signifikant in multiplen genetischen Modellen; FTO rs1558902 auch signifikant; CALCRL rs696574 nicht signifikant; MDR-Analyse: ZTV als stabilstes Single-Locus-Modell.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Kasachstan – Genotyp-Befunde explorativ, Populationsübertragung begrenzt</w:t>
      </w:r>
    </w:p>
    <w:p>
      <w:r>
        <w:rPr>
          <w:color w:val="5A7D3A"/>
          <w:sz w:val="18"/>
        </w:rPr>
        <w:t>https://pubmed.ncbi.nlm.nih.gov/42654346/</w:t>
      </w:r>
    </w:p>
    <w:p>
      <w:pPr>
        <w:pStyle w:val="Heading2"/>
      </w:pPr>
      <w:r>
        <w:t>Extreme Adipositas (BMI 106,7) führte zu Ausschluss von Staging und Standard-Therapie bei Krebs</w:t>
      </w:r>
    </w:p>
    <w:p>
      <w:r>
        <w:rPr>
          <w:i/>
          <w:color w:val="666666"/>
          <w:sz w:val="18"/>
        </w:rPr>
        <w:t>Fueth M et al.  ·  J Med Case Rep  ·  24.07.2026  ·  PMID 42498956</w:t>
      </w:r>
    </w:p>
    <w:p>
      <w:r>
        <w:t>Fallbericht einer 54-jährigen Frau mit BMI 106,7 kg/m² und kutanem Angiosarkom; Dokumentation der Infrastruktur-Barrieren bei Bildgebung, Staging und Operabilität.</w:t>
      </w:r>
    </w:p>
    <w:p>
      <w:r>
        <w:rPr>
          <w:b/>
        </w:rPr>
        <w:t xml:space="preserve">Ergebnis: </w:t>
      </w:r>
      <w:r>
        <w:t>CT, MRT, PET wegen Gantry/Tisch-Limit unmöglich in allen regionalen Zentren; Patientin erhielt nur Bettseitexzision und Amputation, entwickelte Multiorganversagen, starb Tag 24; keine kurative Therapie ermöglicht.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– zeigt systemische Unterversorgung bei extremer Adipositas</w:t>
      </w:r>
    </w:p>
    <w:p>
      <w:r>
        <w:rPr>
          <w:color w:val="5A7D3A"/>
          <w:sz w:val="18"/>
        </w:rPr>
        <w:t>https://pubmed.ncbi.nlm.nih.gov/42498956/</w:t>
      </w:r>
    </w:p>
    <w:p>
      <w:pPr>
        <w:pStyle w:val="Heading2"/>
      </w:pPr>
      <w:r>
        <w:t>TyG-WHtR zeigte stärkste Vorhersagekraft für Aortenstenose im Metabolischen Syndrom-Spektrum</w:t>
      </w:r>
    </w:p>
    <w:p>
      <w:r>
        <w:rPr>
          <w:i/>
          <w:color w:val="666666"/>
          <w:sz w:val="18"/>
        </w:rPr>
        <w:t>Ding J et al.  ·  Front Endocrinol (Lausanne)  ·  07.07.2026  ·  PMID 42483668</w:t>
      </w:r>
    </w:p>
    <w:p>
      <w:r>
        <w:t>Prospektive Kohortenstudie mit 363.907 Teilnehmern der UK Biobank in CKM-Stadien 0–3; Assoziationen von Triglycerid-Glucose-Indizes mit inzidentem Aortenstenose-Risiko über 15,25 Jahre Nachbeobachtung.</w:t>
      </w:r>
    </w:p>
    <w:p>
      <w:r>
        <w:rPr>
          <w:b/>
        </w:rPr>
        <w:t xml:space="preserve">Ergebnis: </w:t>
      </w:r>
      <w:r>
        <w:t>3.326 Aortenstenose-Fälle; jede 1-SD-Erhöhung TyG-Index = 8–24 % erhöhtes AS-Risiko; TyG-WHtR zeigte größte Vorhersageverbesserung (C-Index 0,806); SBP mediierte 12,1–18,1 % der Assoziation.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– vergleichbares System, aber Population und Risikoprofile unterscheiden sich</w:t>
      </w:r>
    </w:p>
    <w:p>
      <w:r>
        <w:rPr>
          <w:color w:val="5A7D3A"/>
          <w:sz w:val="18"/>
        </w:rPr>
        <w:t>https://pubmed.ncbi.nlm.nih.gov/42483668/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2026-09-21T06:00:00Z</dcterms:created>
  <dcterms:modified xsi:type="dcterms:W3CDTF">2026-09-21T06:00:00Z</dcterms:modified>
  <cp:category/>
</cp:coreProperties>
</file>