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24.10.2026  |  7 Studien  |  adipositas.m-vf.de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Neuseeländer: Adipositasmedikamente annehmbar, aber Sorgen um Kosten und Langzeitfolgen hemmen Nutzung</w:t>
      </w:r>
    </w:p>
    <w:p>
      <w:r>
        <w:rPr>
          <w:i/>
          <w:color w:val="666666"/>
          <w:sz w:val="18"/>
        </w:rPr>
        <w:t>Taylor T et al.  ·  N Z Med J  ·  23.10.2026  ·  PMID 42912969</w:t>
      </w:r>
    </w:p>
    <w:p>
      <w:r>
        <w:t>Querschnittsumfrage (n=216 Māori und Pacific-Erwachsene, 190 mit Übergewicht/Adipositas) zur Akzeptanz von Adipositasmedikamenten; multivariable logistische Regression und Mediationsanalyse.</w:t>
      </w:r>
    </w:p>
    <w:p>
      <w:r>
        <w:rPr>
          <w:b/>
        </w:rPr>
        <w:t xml:space="preserve">Ergebnis: </w:t>
      </w:r>
      <w:r>
        <w:t>Mehrheit betrachtete Adipositasmedikamente als akzeptabel. Häufige Sorgen: Kosten, Wirksamkeit, nachträgliche Gewichtszunahme, unbekannte Körperauswirkungen, Langzeitabhängigkeit. Verabreichungsweg (oral vs. Injektion) war signifikanter Mediator ethnischer Unterschiede; Pacific-Teilnehmer höheres Bedenken als Māori. Geschlechtsmuster ähnlich, aber begrenzte männliche Teilnehmerzahl.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Neuseeland; ethnische Unterschiede in Arzneimittel-Akzeptanz, aber Kostenbarriere ist deutsches Problem (§34 SGB V).</w:t>
      </w:r>
    </w:p>
    <w:p>
      <w:r>
        <w:rPr>
          <w:color w:val="5A7D3A"/>
          <w:sz w:val="18"/>
        </w:rPr>
        <w:t>https://pubmed.ncbi.nlm.nih.gov/42912969/</w:t>
      </w:r>
    </w:p>
    <w:p>
      <w:pPr>
        <w:pStyle w:val="Heading2"/>
      </w:pPr>
      <w:r>
        <w:t>Südasia: körperliche Inaktivität und Ernährung sind Hauptfaktoren für Adoleszenten-Adipositas</w:t>
      </w:r>
    </w:p>
    <w:p>
      <w:r>
        <w:rPr>
          <w:i/>
          <w:color w:val="666666"/>
          <w:sz w:val="18"/>
        </w:rPr>
        <w:t>Siddiquee T et al.  ·  Endocrinol Diabetes Metab  ·  Nov. 2026  ·  PMID 42912841</w:t>
      </w:r>
    </w:p>
    <w:p>
      <w:r>
        <w:t>Narrative Übersicht (13 Publikationen, 2015–August 2026) über Prävalenz und Faktoren der Adipositas bei 10–19-Jährigen in Südasia; separate Analyse primärer Studien (n=8) und systematischer Reviews (n=5).</w:t>
      </w:r>
    </w:p>
    <w:p>
      <w:r>
        <w:rPr>
          <w:b/>
        </w:rPr>
        <w:t xml:space="preserve">Ergebnis: </w:t>
      </w:r>
      <w:r>
        <w:t>Regionale Meta-Analysen: 12,4% Übergewicht, 6,6% Adipositas, 19,3% kombiniert. Konsistente Evidenz für körperliche Inaktivität, Sedentarismus und ungesunde Ernährung. Sozioökonomische Position, Urbanisierung, Geschlecht, Familie und Medienexposition zeigten heterogene, kontextabhängige Assoziationen. Schlaf, psychische Gesundheit, Nahrungsunsicherheit und Nachbarschaftsfaktoren waren unzureichend untersucht.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Südasien; regionale Prävention erfordert lokal angepasste Ansätze, nicht universal übertragbar.</w:t>
      </w:r>
    </w:p>
    <w:p>
      <w:r>
        <w:rPr>
          <w:color w:val="5A7D3A"/>
          <w:sz w:val="18"/>
        </w:rPr>
        <w:t>https://pubmed.ncbi.nlm.nih.gov/42912841/</w:t>
      </w:r>
    </w:p>
    <w:p>
      <w:pPr>
        <w:pStyle w:val="Heading2"/>
      </w:pPr>
      <w:r>
        <w:t>Emotionsregulation in Familientherapie reduziert Gewichtsverlust-Rückgewinn bei Jugendlichen</w:t>
      </w:r>
    </w:p>
    <w:p>
      <w:r>
        <w:rPr>
          <w:i/>
          <w:color w:val="666666"/>
          <w:sz w:val="18"/>
        </w:rPr>
        <w:t>Boutelle KN et al.  ·  JAMA Netw Open  ·  01.10.2026  ·  PMID 42911592</w:t>
      </w:r>
    </w:p>
    <w:p>
      <w:r>
        <w:t>Randomisierte Studie (n=166 Jugendliche, 13-16 Jahre) verglich Familientherapie mit zusätzlichem Emotionsregulations-Training gegen Standardtherapie; primärer Endpunkt war BMI-Änderung über 6 Monate mit 12-Monats-Nachverfolgung.</w:t>
      </w:r>
    </w:p>
    <w:p>
      <w:r>
        <w:rPr>
          <w:b/>
        </w:rPr>
        <w:t xml:space="preserve">Ergebnis: </w:t>
      </w:r>
      <w:r>
        <w:t>Kein signifikanter Unterschied in Gewichtsverlust unter Behandlung (Differenz BMI-z-Score: 0,03). Nach 12 Monaten zeigte die Emotionsgruppe weniger Gewichtszunahme (−0,09 BMI-z-Score), 22% erreichten klinisch signifikante Gewichtsverluste versus 4% in Standardtherapie. Emotionales Essen war in der Emotionsgruppe niedriger.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Familientherapie-Modell ist mit deutschen ambulanten psychosomatischen Programmen vergleichbar.</w:t>
      </w:r>
    </w:p>
    <w:p>
      <w:r>
        <w:rPr>
          <w:color w:val="5A7D3A"/>
          <w:sz w:val="18"/>
        </w:rPr>
        <w:t>https://pubmed.ncbi.nlm.nih.gov/42911592/</w:t>
      </w:r>
    </w:p>
    <w:p>
      <w:pPr>
        <w:pStyle w:val="Heading2"/>
      </w:pPr>
      <w:r>
        <w:t>Gestationszunahme außerhalb Normbereich erhöht schwere Mütter-Morbidität</w:t>
      </w:r>
    </w:p>
    <w:p>
      <w:r>
        <w:rPr>
          <w:i/>
          <w:color w:val="666666"/>
          <w:sz w:val="18"/>
        </w:rPr>
        <w:t>Khademioore S et al.  ·  JAMA Netw Open  ·  01.10.2026  ·  PMID 42911590</w:t>
      </w:r>
    </w:p>
    <w:p>
      <w:r>
        <w:t>Retrospektive Kohortenstudie (n=1.035.927 Singleton-Schwangerschaften) mit Geburts-Registerdaten (Ontario, Kanada, 2012-2022); Exposition: Gewichtszunahme nach IOM-Kategorien; Outcome: schwere Mütter-Morbidität (SMM).</w:t>
      </w:r>
    </w:p>
    <w:p>
      <w:r>
        <w:rPr>
          <w:b/>
        </w:rPr>
        <w:t xml:space="preserve">Ergebnis: </w:t>
      </w:r>
      <w:r>
        <w:t>SMM trat bei 14,59 pro 1000 Geburten auf. Excessive Gewichtszunahme war über alle BMI-Kategorien mit erhöhter SMM assoziiert (z.B. normal: adjustierte Ratenratio 1,24, 95%-KI 1,17–1,31). Inadäquate Zunahme erhöhte SMM bei Normalgewicht (aRR 1,13) und Übergewicht (aRR 1,19). Nicht-lineare Assoziationen je nach BMI-Kategorie.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Gesundheitssystem; Geburts-Registerdaten übertragbar auf deutsches Setting.</w:t>
      </w:r>
    </w:p>
    <w:p>
      <w:r>
        <w:rPr>
          <w:color w:val="5A7D3A"/>
          <w:sz w:val="18"/>
        </w:rPr>
        <w:t>https://pubmed.ncbi.nlm.nih.gov/42911590/</w:t>
      </w:r>
    </w:p>
    <w:p>
      <w:pPr>
        <w:pStyle w:val="Heading2"/>
      </w:pPr>
      <w:r>
        <w:t>Arbeitsplatz-Lebensstileprogramm senkte metabolisches Syndrom trotz Implementierungs-Hürden</w:t>
      </w:r>
    </w:p>
    <w:p>
      <w:r>
        <w:rPr>
          <w:i/>
          <w:color w:val="666666"/>
          <w:sz w:val="18"/>
        </w:rPr>
        <w:t>Bogale SK et al.  ·  Front Public Health  ·  07.10.2026  ·  PMID 42909154</w:t>
      </w:r>
    </w:p>
    <w:p>
      <w:r>
        <w:t>Mixed-Methods-Evaluation (n=226 Beschäftigte, Cluster-randomisiert) einer 9-Monatigen Arbeitsplatz-Intervention zur Metabolisches-Syndrom-Reduktion in Äthiopien; Implementierungstreue nach Programme Integrity Framework; Kontextfaktoren nach CFIR.</w:t>
      </w:r>
    </w:p>
    <w:p>
      <w:r>
        <w:rPr>
          <w:b/>
        </w:rPr>
        <w:t xml:space="preserve">Ergebnis: </w:t>
      </w:r>
      <w:r>
        <w:t>Hohe Implementierungstreue über Adhärenz, Exposition, Qualität und Teilnehmerresponse. Signifikante Metabolisches-Syndrom-Reduktion und Verhaltensverbesserungen in Interventionsgruppe. Implementierungs-Barrieren: unsupportive Organisationskultur, schwache Führungsunterstützung, begrenzte externe Policy-Rückhalt, Ressourcenmangel, misalignierte Communitynormen. Nachhaltige Skalierung erfordert Task-Sharing und Policy-Integration.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Erwerbstätigengruppe; Arbeitsplatz-Modell ist auf deutsche Betriebliche Gesundheitsförderung übertragbar.</w:t>
      </w:r>
    </w:p>
    <w:p>
      <w:r>
        <w:rPr>
          <w:color w:val="5A7D3A"/>
          <w:sz w:val="18"/>
        </w:rPr>
        <w:t>https://pubmed.ncbi.nlm.nih.gov/42909154/</w:t>
      </w:r>
    </w:p>
    <w:p>
      <w:pPr>
        <w:pStyle w:val="Heading2"/>
      </w:pPr>
      <w:r>
        <w:t>Familie und Gemeinschaft verschärfen Stigma und psychische Belastung von übergewichtigen Mädchen</w:t>
      </w:r>
    </w:p>
    <w:p>
      <w:r>
        <w:rPr>
          <w:i/>
          <w:color w:val="666666"/>
          <w:sz w:val="18"/>
        </w:rPr>
        <w:t>Bahathig A et al.  ·  Front Public Health  ·  07.10.2026  ·  PMID 42908972</w:t>
      </w:r>
    </w:p>
    <w:p>
      <w:r>
        <w:t>Qualitative Studie mit 30 weiblichen Jugendlichen (12-19 Jahre, 57% adipös, 43% übergewichtig); halbstrukturierte Interviews zu Familieneinflüssen, Kritik und psychischem Wohlbefinden.</w:t>
      </w:r>
    </w:p>
    <w:p>
      <w:r>
        <w:rPr>
          <w:b/>
        </w:rPr>
        <w:t xml:space="preserve">Ergebnis: </w:t>
      </w:r>
      <w:r>
        <w:t>Vier Themen identifiziert: (1) Essstörungszyklus aus Diäten und Überessen (n=16); (2) Kritik von Familie und Gemeinschaft (n=20); (3) psychologische Folgen wie niedriges Selbstwertgefühl, soziale Isolation (n=25), Sorgen um Kleidung und Ehe (n=22); (4) Bewältigungsstrategien. Negative Kommentare waren demotivierend, positive gesundheitsbezogene waren motivierend.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Saudi-Arabien; Stigma-Dynamik in traditionellen Gesellschaften, aber psychische Belastung universell relevant.</w:t>
      </w:r>
    </w:p>
    <w:p>
      <w:r>
        <w:rPr>
          <w:color w:val="5A7D3A"/>
          <w:sz w:val="18"/>
        </w:rPr>
        <w:t>https://pubmed.ncbi.nlm.nih.gov/42908972/</w:t>
      </w:r>
    </w:p>
    <w:p>
      <w:pPr>
        <w:pStyle w:val="Heading2"/>
      </w:pPr>
      <w:r>
        <w:t>Fastintherapie senkt Blutdruck dysglykämischer Patienten unabhängig von Gewichtsverlust</w:t>
      </w:r>
    </w:p>
    <w:p>
      <w:r>
        <w:rPr>
          <w:i/>
          <w:color w:val="666666"/>
          <w:sz w:val="18"/>
        </w:rPr>
        <w:t>Ye Z et al.  ·  Front Endocrinol (Lausanne)  ·  07.10.2026  ·  PMID 42908842</w:t>
      </w:r>
    </w:p>
    <w:p>
      <w:r>
        <w:t>Retrospektive Kohortenstudie (n=833 dysglykämische Erwachsene) zu modifiziertem Fasten; Blutdruck, Gewicht und Laborparameter vor/nach Intervention gemessen; lineare mixed models und Mediationsanalyse.</w:t>
      </w:r>
    </w:p>
    <w:p>
      <w:r>
        <w:rPr>
          <w:b/>
        </w:rPr>
        <w:t xml:space="preserve">Ergebnis: </w:t>
      </w:r>
      <w:r>
        <w:t>Fasten senkte systolischen Blutdruck um 7,73 mmHg (95%-KI −8,64 bis −6,82) und diastolischen um 4,76 mmHg (95%-KI −5,39 bis −4,12), beide p&lt;0,001. Gewichtsverlust mediierte nicht signifikant die Blutdruckreduktion (indirekter Effekt SBP: −0,22, p=0,588). Effekt wurde modifiziert durch Alter, Geschlecht und Baseline-HbA1c; größere Reduktionen bei jüngeren, männlichen Patienten und höherem HbA1c.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Fasten-Effekt auf Blutdruck ist mechanistisch unabhängig vom Gewicht, Design auf deutsches Setting anwendbar.</w:t>
      </w:r>
    </w:p>
    <w:p>
      <w:r>
        <w:rPr>
          <w:color w:val="5A7D3A"/>
          <w:sz w:val="18"/>
        </w:rPr>
        <w:t>https://pubmed.ncbi.nlm.nih.gov/42908842/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