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10.10.2026  |  7 Studien  |  adipositas.m-vf.de</w:t>
      </w:r>
    </w:p>
    <w:p>
      <w:pPr>
        <w:pStyle w:val="Heading1"/>
      </w:pPr>
      <w:r>
        <w:t>Aufgenommen am 10.10.2026</w:t>
      </w:r>
    </w:p>
    <w:p>
      <w:pPr>
        <w:pStyle w:val="Heading2"/>
      </w:pPr>
      <w:r>
        <w:t>Strukturiertes Adipositas-Programm im häuslichen Umfeld via Medicaid möglich</w:t>
      </w:r>
    </w:p>
    <w:p>
      <w:r>
        <w:rPr>
          <w:i/>
          <w:color w:val="666666"/>
          <w:sz w:val="18"/>
        </w:rPr>
        <w:t>Button AM et al.  ·  Transl Behav Med  ·  07.01.2026  ·  PMID 42853644</w:t>
      </w:r>
    </w:p>
    <w:p>
      <w:r>
        <w:t>Demonstrationsprojekt: Beweise-basiertes 12-Monatsprogramm PATH in Häusern von Kindern (6–12 Jahre, BMI ≥95. Perzentil) durch Home-Health-Fachkräfte integriert, über Medicaid abgerechnet; Dokumentation von Adaptionen gemäß FRAME-IS.</w:t>
      </w:r>
    </w:p>
    <w:p>
      <w:r>
        <w:rPr>
          <w:b/>
        </w:rPr>
        <w:t xml:space="preserve">Ergebnis: </w:t>
      </w:r>
      <w:r>
        <w:t>10 Familien mit durchschnittlich 8±7 Sitzungen (Spanne 2–21). BMI-Perzentil stabilisiert, systolischer Blutdruck verbessert (n=5 nach 6 Monaten), Lebensqualität gewonnen. Hauptproblem: Verbleib in Behandlung.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zeigt Machbarkeit von Versorgung im Wohnumfeld; deutsche Krankenkassen ersetzen solche Hausbesuche nicht systematisch.</w:t>
      </w:r>
    </w:p>
    <w:p>
      <w:r>
        <w:rPr>
          <w:color w:val="5A7D3A"/>
          <w:sz w:val="18"/>
        </w:rPr>
        <w:t>https://pubmed.ncbi.nlm.nih.gov/42853644/</w:t>
      </w:r>
    </w:p>
    <w:p>
      <w:pPr>
        <w:pStyle w:val="Heading2"/>
      </w:pPr>
      <w:r>
        <w:t>Schulbasierte Verhaltensintervention verringerte BMI-Anstieg bei Grundschülern</w:t>
      </w:r>
    </w:p>
    <w:p>
      <w:r>
        <w:rPr>
          <w:i/>
          <w:color w:val="666666"/>
          <w:sz w:val="18"/>
        </w:rPr>
        <w:t>Wang ML et al.  ·  JAMA Netw Open  ·  01.10.2026  ·  PMID 42853568</w:t>
      </w:r>
    </w:p>
    <w:p>
      <w:r>
        <w:t>Cluster-randomisierte Studie an 437 Schulkindern (8–13 Jahre) in Boys &amp; Girls Clubs: 12 Sitzungen zur Reduktion zuckerhaltiger Getränke über 6 Wochen, vergleichend zu Regelangebot.</w:t>
      </w:r>
    </w:p>
    <w:p>
      <w:r>
        <w:rPr>
          <w:b/>
        </w:rPr>
        <w:t xml:space="preserve">Ergebnis: </w:t>
      </w:r>
      <w:r>
        <w:t>Nach 12 Monaten war der zBMI-Anstieg in der Interventionsgruppe um 0,19 SD geringer als in der Kontrollgruppe (adjustierte Differenz -0,19; 95%-KI -0,38 bis -0,01; p=0,04). Die Intervention vermied eine weitere Gewichtszunahme, wirkte aber nicht auf die Getränkeaufnahme 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aber Verhaltensansatz in Gemeinschaftseinrichtungen ist auf deutsche Schulen übertragbar.</w:t>
      </w:r>
    </w:p>
    <w:p>
      <w:r>
        <w:rPr>
          <w:color w:val="5A7D3A"/>
          <w:sz w:val="18"/>
        </w:rPr>
        <w:t>https://pubmed.ncbi.nlm.nih.gov/42853568/</w:t>
      </w:r>
    </w:p>
    <w:p>
      <w:pPr>
        <w:pStyle w:val="Heading2"/>
      </w:pPr>
      <w:r>
        <w:t>Wissen und Einstellung von Eltern bestimmen Kindergewichtsmanagement stärker als Wissensvermittlung</w:t>
      </w:r>
    </w:p>
    <w:p>
      <w:r>
        <w:rPr>
          <w:i/>
          <w:color w:val="666666"/>
          <w:sz w:val="18"/>
        </w:rPr>
        <w:t>Wei L et al.  ·  Front Public Health  ·  24.09.2026  ·  PMID 42851382</w:t>
      </w:r>
    </w:p>
    <w:p>
      <w:r>
        <w:t>Querschnittsstudie bei 572 Eltern von Schulkindern in Südwest-China: Erfassung von Wissen, Einstellungen und Praktiken (KAP) zum Kindergewicht; Mediationsanalyse zwischen Politik, Wissen, Einstellung und Handlung.</w:t>
      </w:r>
    </w:p>
    <w:p>
      <w:r>
        <w:rPr>
          <w:b/>
        </w:rPr>
        <w:t xml:space="preserve">Ergebnis: </w:t>
      </w:r>
      <w:r>
        <w:t>Negative Einstellungen (aOR 5,32; 95%-KI 3,45–8,28), Unkenntnis der Gewichtspolitik (aOR 1,98; 95%-KI 1,31–3,00) und unkontrolliertes Essen (aOR 1,70; 95%-KI 1,13–2,57) waren Prädiktoren schlechter Praktiken. Einstellung mediierte 27,7% des Effekts der Politikkenntnis auf Praktiken.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zeigt strukturelle Barriere: Wissensvermittlung allein ändert Familienpraxis nicht ohne Einstellungsänderung.</w:t>
      </w:r>
    </w:p>
    <w:p>
      <w:r>
        <w:rPr>
          <w:color w:val="5A7D3A"/>
          <w:sz w:val="18"/>
        </w:rPr>
        <w:t>https://pubmed.ncbi.nlm.nih.gov/42851382/</w:t>
      </w:r>
    </w:p>
    <w:p>
      <w:pPr>
        <w:pStyle w:val="Heading2"/>
      </w:pPr>
      <w:r>
        <w:t>Kardiorenales Metabolisches Syndrom gestaffelt Risiko für Herzinfarkt und Leberfolgen über alle Fettleberformen</w:t>
      </w:r>
    </w:p>
    <w:p>
      <w:r>
        <w:rPr>
          <w:i/>
          <w:color w:val="666666"/>
          <w:sz w:val="18"/>
        </w:rPr>
        <w:t>Fan QY et al.  ·  Med  ·  09.10.2026  ·  PMID 42716008</w:t>
      </w:r>
    </w:p>
    <w:p>
      <w:r>
        <w:t>UK-Biobank-Kohortenstudie mit 142.564 Personen mit steatolischen Lebererkrankungen: Stratifikation nach kardiorenales metabolisches Syndrom (CKM)-Stadium (0–4); Messung inzidenter kardiovaskulärer (MACE) und leberassoziierter Ereignisse (LRE) über 14,7 Jahre.</w:t>
      </w:r>
    </w:p>
    <w:p>
      <w:r>
        <w:rPr>
          <w:b/>
        </w:rPr>
        <w:t xml:space="preserve">Ergebnis: </w:t>
      </w:r>
      <w:r>
        <w:t>Höheres CKM-Stadium war dosisabhängig mit höherem MACE- und LRE-Risiko verknüpft (CKM-Stadien 2–4 vs. 0–1: adjustierte HR 1,51–3,62 für MACE, 1,28–2,32 für LRE). Adipositas und Hypertonie waren die stärksten Populationsattribute (bis 22,8% PAR für LRE); Diabetes trug mehr zu LRE bei (17,5% vs. 7,9% MACE).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deutsches Versicherungssystem vergleichbar; zeigt Klassifikation von Risiko als Versorgungsaufgabe.</w:t>
      </w:r>
    </w:p>
    <w:p>
      <w:r>
        <w:rPr>
          <w:color w:val="5A7D3A"/>
          <w:sz w:val="18"/>
        </w:rPr>
        <w:t>https://pubmed.ncbi.nlm.nih.gov/42716008/</w:t>
      </w:r>
    </w:p>
    <w:p>
      <w:pPr>
        <w:pStyle w:val="Heading2"/>
      </w:pPr>
      <w:r>
        <w:t>GLP-1-Agonisten im NHS limitiert, private Versorgung verstärkt Ungleichheit</w:t>
      </w:r>
    </w:p>
    <w:p>
      <w:r>
        <w:rPr>
          <w:i/>
          <w:color w:val="666666"/>
          <w:sz w:val="18"/>
        </w:rPr>
        <w:t>Boocock RC  ·  Nurs Stand  ·  30.09.2026  ·  PMID 42676263</w:t>
      </w:r>
    </w:p>
    <w:p>
      <w:r>
        <w:t>Übersichtsartikel zu GLP-1-Rezeptoragonisten und Dual-GIP/GLP-1-Agonisten: Wirkungsmechanismen, Sicherheitsrisiken (Unterernährung, Muskelverlust, Wiederzunahme nach Absetzen), Rolle der Pflege bei Mikronährstoffen und Verhaltensänderung.</w:t>
      </w:r>
    </w:p>
    <w:p>
      <w:r>
        <w:rPr>
          <w:b/>
        </w:rPr>
        <w:t xml:space="preserve">Ergebnis: </w:t>
      </w:r>
      <w:r>
        <w:t>NHS-Zugang zu GLP-1-Agonisten begrenzt auf höhere Risikopatienten; großer Anteil mit privaten Zahlungen behandelt. Dies verschärft bestehende Gesundheitsungleichheiten bei Adipositas. Pflegefachkräfte haben entscheidende Rolle bei Unterstützung von Proteinaufnahme, Bewegung und Verhaltensänderung zur Sicherung langfristiger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UK-System, aber direkt übertragbar: auch in Deutschland (§34 SGB V) ist GLP-1 für Adipositas nicht erstattungsfähig, private Zahlungen driften Systemungleichheit auf.</w:t>
      </w:r>
    </w:p>
    <w:p>
      <w:r>
        <w:rPr>
          <w:color w:val="5A7D3A"/>
          <w:sz w:val="18"/>
        </w:rPr>
        <w:t>https://pubmed.ncbi.nlm.nih.gov/42676263/</w:t>
      </w:r>
    </w:p>
    <w:p>
      <w:pPr>
        <w:pStyle w:val="Heading2"/>
      </w:pPr>
      <w:r>
        <w:t>Magenbypass-Reversal bei therapierefraktären Komplikationen: schwache Symptomverbesserung trotz besserer Ernährung</w:t>
      </w:r>
    </w:p>
    <w:p>
      <w:r>
        <w:rPr>
          <w:i/>
          <w:color w:val="666666"/>
          <w:sz w:val="18"/>
        </w:rPr>
        <w:t>Noci MVR et al.  ·  Obes Surg  ·  28.08.2026  ·  PMID 42663940</w:t>
      </w:r>
    </w:p>
    <w:p>
      <w:r>
        <w:t>Retrospektive Fallserie an britischem Tertiar-Zentrum (2019–2026): 8 Patienten mit Magenbypass-Reversal wegen chronischer Komplikationen (anastomotische Probleme, innere Hernien, Dumping). Median 4,5 Jahre bis Reversal mit medianen Nachuntersuchungen von 17 Monaten (IQR 6–24).</w:t>
      </w:r>
    </w:p>
    <w:p>
      <w:r>
        <w:rPr>
          <w:b/>
        </w:rPr>
        <w:t xml:space="preserve">Ergebnis: </w:t>
      </w:r>
      <w:r>
        <w:t>Post-Reversal: BMI stieg von 21 (IQR 17,3–27) auf 29 kg/m² (IQR 23,1–33), Albumin von 30 auf 38 g/L (IQR 32–41). Symptomrelief inkonsistent: anhaltende abdominelle Schmerzen 7/8, Reflux 4/5, Dysphagie 4/7, schlechte orale Aufnahme 3/7, Erbrechen 3/8. Postoperative Komplikationen: anastomotische Leckagen, Ulzera, Narbenbruchhernen.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UK-Tertiar-Zentrum, deutsches Adipositas-Chirurgie-System vergleichbar; zeigt Grenzfrage: wann hat Reversal noch Nutzen?</w:t>
      </w:r>
    </w:p>
    <w:p>
      <w:r>
        <w:rPr>
          <w:color w:val="5A7D3A"/>
          <w:sz w:val="18"/>
        </w:rPr>
        <w:t>https://pubmed.ncbi.nlm.nih.gov/42663940/</w:t>
      </w:r>
    </w:p>
    <w:p>
      <w:pPr>
        <w:pStyle w:val="Heading2"/>
      </w:pPr>
      <w:r>
        <w:t>Mütterlicher Gestationsdiabetes verknüpft mit erhöhter Fettmasse in Kindheit und Jugend</w:t>
      </w:r>
    </w:p>
    <w:p>
      <w:r>
        <w:rPr>
          <w:i/>
          <w:color w:val="666666"/>
          <w:sz w:val="18"/>
        </w:rPr>
        <w:t>Du J et al.  ·  Diabetes Obes Metab  ·  25.08.2026  ·  PMID 42642339</w:t>
      </w:r>
    </w:p>
    <w:p>
      <w:r>
        <w:t>Longitudinalstudie des Millennium Cohort Study mit 14.329 Kindern (davon 170 mit GDM-Exposition): Körperzusammensetzung (Fett, fettfreie Masse, Verhältnisse) in vier Perioden von Alter 7–17 Jahren gemessen, lineare Mischmodelle für Trajektorien gerechnet.</w:t>
      </w:r>
    </w:p>
    <w:p>
      <w:r>
        <w:rPr>
          <w:b/>
        </w:rPr>
        <w:t xml:space="preserve">Ergebnis: </w:t>
      </w:r>
      <w:r>
        <w:t>GDM-exponierte Kinder zeigten über alle Altersgruppen höhere Fettmasse (FM), Fettmassindex (FMI) und FMI/FFMI-Verhältnis; altersabhängige Zwischen-Gruppen-Unterschiede (p&lt;0,05 für FM, FMI, Verhältnis). Nach Adjustierung für mütterliche Adipositas vor der Schwangerschaft wurden Effekte abgeschwächt, Muster blieben aber sichtbar.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 deutsches Gesundheitssystem; zeigt pränatale Prävention als langfristige Versorgungsfrage.</w:t>
      </w:r>
    </w:p>
    <w:p>
      <w:r>
        <w:rPr>
          <w:color w:val="5A7D3A"/>
          <w:sz w:val="18"/>
        </w:rPr>
        <w:t>https://pubmed.ncbi.nlm.nih.gov/42642339/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2026-10-10T06:00:00Z</dcterms:created>
  <dcterms:modified xsi:type="dcterms:W3CDTF">2026-10-10T06:00:00Z</dcterms:modified>
  <cp:category/>
</cp:coreProperties>
</file>