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11.10.2026  |  7 Studien  |  adipositas.m-vf.de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Obstruktive Schlafapnoe und Insulinresistenz bei Kindern mit Prader-Willi: SPISE-Index als Marker</w:t>
      </w:r>
    </w:p>
    <w:p>
      <w:r>
        <w:rPr>
          <w:i/>
          <w:color w:val="666666"/>
          <w:sz w:val="18"/>
        </w:rPr>
        <w:t>Güney AZ et al.  ·  Eur J Pediatr  ·  09.10.2026  ·  PMID 42855587</w:t>
      </w:r>
    </w:p>
    <w:p>
      <w:r>
        <w:t>Türkische Querschnittsstudie vergleicht SPISE und HOMA-IR als Insulinresistenzmarker und deren Assoziation mit OSA-Schweregrad bei 31 PWS-Kindern und 47 nicht-syndromischen Kindern.</w:t>
      </w:r>
    </w:p>
    <w:p>
      <w:r>
        <w:rPr>
          <w:b/>
        </w:rPr>
        <w:t xml:space="preserve">Ergebnis: </w:t>
      </w:r>
      <w:r>
        <w:t>Bei PWS-Kindern: oAHI korrelierte invers mit SPISE (ρ = −0,378, p = 0,036), in multivariablem Modell blieb höherer oAHI mit niedrigerem SPISE assoziiert (B = −0,154, p = 0,015); ODI korrelierte mit SPISE (ρ = −0,427, p = 0,017) aber nicht HOMA-IR. SPISE zeigt stärkere Assoziationen mit OSA-Schweregrad, verdient weitere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Fachdisziplin (Pädiatrie), seltenes Syndrom, kleinere Stichprobe mit Validierungsbedarf</w:t>
      </w:r>
    </w:p>
    <w:p>
      <w:r>
        <w:rPr>
          <w:color w:val="5A7D3A"/>
          <w:sz w:val="18"/>
        </w:rPr>
        <w:t>https://pubmed.ncbi.nlm.nih.gov/42855587/</w:t>
      </w:r>
    </w:p>
    <w:p>
      <w:pPr>
        <w:pStyle w:val="Heading2"/>
      </w:pPr>
      <w:r>
        <w:t>Semaglutid plus Dapagliflozin bei Typ-2-Diabetes mit Nierenerkrankung: 8-Wochen-Effekte</w:t>
      </w:r>
    </w:p>
    <w:p>
      <w:r>
        <w:rPr>
          <w:i/>
          <w:color w:val="666666"/>
          <w:sz w:val="18"/>
        </w:rPr>
        <w:t>Gong C et al.  ·  Medicine (Baltimore)  ·  09.10.2026  ·  PMID 42854065</w:t>
      </w:r>
    </w:p>
    <w:p>
      <w:r>
        <w:t>Retrospektive Beobachtungsstudie vergleicht Kombinationstherapie mit Semaglutid und Dapagliflozin gegen je Monotherapie bei 126 Patienten (3×42 pro Arm) mit Typ-2-Diabetes und chronischer Nierenerkrankung (CKD) über 8 Wochen.</w:t>
      </w:r>
    </w:p>
    <w:p>
      <w:r>
        <w:rPr>
          <w:b/>
        </w:rPr>
        <w:t xml:space="preserve">Ergebnis: </w:t>
      </w:r>
      <w:r>
        <w:t>Nach 8 Wochen zeigte Kombinationsgruppe signifikant stärkere Reduktionen als je Monotherapie: Nüchternglukose (sig. in allen 3 Gruppen), HbA1c, Harnstoff, Kreatinin, 24-h-Proteinurie, Entzündungsmarker (ESR, IL-6, hs-CRP). Kombinationsgruppe höhere klinische Ansprechrate. Keine erhöhten Nebenwirkungen in 8 Wochen; aber retrospektiv, kleine Stichprobe, kurze Beobachtung – long-term renale Benefits nicht etabliert.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retrospektiv, kleine Stichprobe, kurze Dauer – begrenzte Übertragbarkeit</w:t>
      </w:r>
    </w:p>
    <w:p>
      <w:r>
        <w:rPr>
          <w:color w:val="5A7D3A"/>
          <w:sz w:val="18"/>
        </w:rPr>
        <w:t>https://pubmed.ncbi.nlm.nih.gov/42854065/</w:t>
      </w:r>
    </w:p>
    <w:p>
      <w:pPr>
        <w:pStyle w:val="Heading2"/>
      </w:pPr>
      <w:r>
        <w:t>BMI und Immuntherapie-Antwort bei Krebs: Überraschend vorteilhaft – aber mit Unsicherheit</w:t>
      </w:r>
    </w:p>
    <w:p>
      <w:r>
        <w:rPr>
          <w:i/>
          <w:color w:val="666666"/>
          <w:sz w:val="18"/>
        </w:rPr>
        <w:t>Sun S et al.  ·  Front Immunol  ·  24.09.2026  ·  PMID 42851698</w:t>
      </w:r>
    </w:p>
    <w:p>
      <w:r>
        <w:t>Systematischer Review und Dosis-Response-Metaanalyse von 61 Studien mit 46.572 Krebspatienten untersucht BMI als Prognosefaktor unter Immuncheckpoint-Inhibitor (ICI)-Therapie für Gesamtüberleben (OS), progressionsfreies Überleben (PFS), Ansprechen und Nebenwirkungen.</w:t>
      </w:r>
    </w:p>
    <w:p>
      <w:r>
        <w:rPr>
          <w:b/>
        </w:rPr>
        <w:t xml:space="preserve">Ergebnis: </w:t>
      </w:r>
      <w:r>
        <w:t>Höherer BMI assoziiert mit günstigerem OS (HR 0,74, 95% KI 0,67–0,82, p&lt;0,001, I²=70,6%) und PFS (HR 0,78, 95% KI 0,69–0,89, p&lt;0,001, I²=60,3%), besonders Adipositas vs. Normalgewicht. Pro 5 kg/m² BMI-Anstieg: PFS verbessert (HR 0,87, 95% KI 0,81–0,95, p&lt;0,001), OS nicht (HR 0,91, ns). Aber Vorhersageintervalle umfassen Nullwert; Assoziationen mit Ansprechen und Grad-3+ Nebenwirkungen inkonsistent. Vorsichtige Interpretation erforderlich – kein kausaler Schluss.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Krebsimmuntherapie, Assoziationen nicht kausal – begrenzte Versorgungsrelevanz</w:t>
      </w:r>
    </w:p>
    <w:p>
      <w:r>
        <w:rPr>
          <w:color w:val="5A7D3A"/>
          <w:sz w:val="18"/>
        </w:rPr>
        <w:t>https://pubmed.ncbi.nlm.nih.gov/42851698/</w:t>
      </w:r>
    </w:p>
    <w:p>
      <w:pPr>
        <w:pStyle w:val="Heading2"/>
      </w:pPr>
      <w:r>
        <w:t>Hyperphagia in Prader-Willi-Syndrom: multidimensionale Bewertung und Versorgungsansätze</w:t>
      </w:r>
    </w:p>
    <w:p>
      <w:r>
        <w:rPr>
          <w:i/>
          <w:color w:val="666666"/>
          <w:sz w:val="18"/>
        </w:rPr>
        <w:t>Tauber M et al.  ·  Orphanet J Rare Dis  ·  05.10.2026  ·  PMID 42834406</w:t>
      </w:r>
    </w:p>
    <w:p>
      <w:r>
        <w:t>Internationale Expertengruppe entwickelt Konzeptualisierung der Hyperphagia als komplexe, multidimensionale Störung mit integrierten biologischen, Verhaltens- und Umgebungsansätzen zur Versorgung.</w:t>
      </w:r>
    </w:p>
    <w:p>
      <w:r>
        <w:rPr>
          <w:b/>
        </w:rPr>
        <w:t xml:space="preserve">Ergebnis: </w:t>
      </w:r>
      <w:r>
        <w:t>Zentrale Erkenntnisse: Hyperphagia in PWS ist multidimensional (beeinträchtigte Sättigungssignale, Belohnungsneurozirkuitry, autonome Dysfunktion); strukturierte Food Environment und Übergänge zur erwachsenenmedizinischen Versorgung sind kritisch; validierte Messinstrumente (Hyperphagia Questionnaire, HQ-CT) werden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Referenzzentren, vergleichbare Versorgungsstruktur für seltene Erkrankungen</w:t>
      </w:r>
    </w:p>
    <w:p>
      <w:r>
        <w:rPr>
          <w:color w:val="5A7D3A"/>
          <w:sz w:val="18"/>
        </w:rPr>
        <w:t>https://pubmed.ncbi.nlm.nih.gov/42834406/</w:t>
      </w:r>
    </w:p>
    <w:p>
      <w:pPr>
        <w:pStyle w:val="Heading2"/>
      </w:pPr>
      <w:r>
        <w:t>Übergewicht bei Kindern unter 5 Jahren in Indien: Anstieg bis 2021, dann Rückgang</w:t>
      </w:r>
    </w:p>
    <w:p>
      <w:r>
        <w:rPr>
          <w:i/>
          <w:color w:val="666666"/>
          <w:sz w:val="18"/>
        </w:rPr>
        <w:t>Rai RK et al.  ·  JAMA Netw Open  ·  01.09.2026  ·  PMID 42809284</w:t>
      </w:r>
    </w:p>
    <w:p>
      <w:r>
        <w:t>Längsschnittanalyse des National Family Health Survey über 18 Jahre (2006–2024) untersucht Prävalenz von Übergewicht und Adipositas bei indischen Kleinkindern und Machbarkeit des 2030 Global Nutrition Target (≤5% Übergewicht).</w:t>
      </w:r>
    </w:p>
    <w:p>
      <w:r>
        <w:rPr>
          <w:b/>
        </w:rPr>
        <w:t xml:space="preserve">Ergebnis: </w:t>
      </w:r>
      <w:r>
        <w:t>N=467.995 Kinder (2006–2021): Übergewichtsprävalenz stieg von 1,55% (2006) auf 3,42% (2021), fiel dann auf 1,3% (2024); Adipositas stieg von 0,50% auf 1,30%. National ist Indien auf dem Weg zum 2030-Ziel, aber 9 Bundesstaaten/UTs (Arunachal Pradesh, Assam, Himachal Pradesh, Jammu u. Kashmir, Kerala, Mizoram, Nagaland, Sikkim, Tripura) zeigen niedrig bis moderat Erreichungswahrscheinlichkeit. Subnationaler Disparitäten erfordern zielgerichtete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Datenqualität begrenzt, Global Health Relevanz aber gering für deutsches System</w:t>
      </w:r>
    </w:p>
    <w:p>
      <w:r>
        <w:rPr>
          <w:color w:val="5A7D3A"/>
          <w:sz w:val="18"/>
        </w:rPr>
        <w:t>https://pubmed.ncbi.nlm.nih.gov/42809284/</w:t>
      </w:r>
    </w:p>
    <w:p>
      <w:pPr>
        <w:pStyle w:val="Heading2"/>
      </w:pPr>
      <w:r>
        <w:t>CT-Adipositätsmessung prognostiziert Intensivverweildauer nach Trauma besser als BMI</w:t>
      </w:r>
    </w:p>
    <w:p>
      <w:r>
        <w:rPr>
          <w:i/>
          <w:color w:val="666666"/>
          <w:sz w:val="18"/>
        </w:rPr>
        <w:t>Zander C et al.  ·  Injury  ·  22.08.2026  ·  PMID 42648018</w:t>
      </w:r>
    </w:p>
    <w:p>
      <w:r>
        <w:t>Deutsche Kohortenstudie untersucht, ob CT-Messungen viszeraler und subkutaner Adipositas (VATI, SATI, AATI) die Intensivverweildauer nach moderatem bis schwerem Trauma besser vorhersagen als BMI.</w:t>
      </w:r>
    </w:p>
    <w:p>
      <w:r>
        <w:rPr>
          <w:b/>
        </w:rPr>
        <w:t xml:space="preserve">Ergebnis: </w:t>
      </w:r>
      <w:r>
        <w:t>142 Traumapatienten: VATI und SATI korrelieren signifikant mit ICU-Verweildauer (ρ = 0,25–0,27, p ≤ 0,003) und Beatmungsdauer (ρ = 0,19–0,24, p ≤ 0,003), während BMI nicht korreliert. AATI bleibt in kombiniertem Modell signifikant (+15,5% pro SD für ICU-LOS, p = 0,016). CT-basierte Körperzusammensetzung verbessert individuelle Risikoeinschätzung.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deutsche Versorgungspraxis, direkt übertragbar</w:t>
      </w:r>
    </w:p>
    <w:p>
      <w:r>
        <w:rPr>
          <w:color w:val="5A7D3A"/>
          <w:sz w:val="18"/>
        </w:rPr>
        <w:t>https://pubmed.ncbi.nlm.nih.gov/42648018/</w:t>
      </w:r>
    </w:p>
    <w:p>
      <w:pPr>
        <w:pStyle w:val="Heading2"/>
      </w:pPr>
      <w:r>
        <w:t>Bauchfett und Griffstärke gemeinsam vorhersagend für Herz-Kreislauf-Erkrankungen</w:t>
      </w:r>
    </w:p>
    <w:p>
      <w:r>
        <w:rPr>
          <w:i/>
          <w:color w:val="666666"/>
          <w:sz w:val="18"/>
        </w:rPr>
        <w:t>Luo J et al.  ·  Diabetes Obes Metab  ·  25.08.2026  ·  PMID 42642342</w:t>
      </w:r>
    </w:p>
    <w:p>
      <w:r>
        <w:t>UK Biobank Kohortenstudie untersucht gemeinsame und separate Assoziationen von Taillenumfang (WC) und Griffstärke (GS) mit atherosklerotischen Herz-Kreislauf-Erkrankungen (ASCVD) über 14,8 Jahre.</w:t>
      </w:r>
    </w:p>
    <w:p>
      <w:r>
        <w:rPr>
          <w:b/>
        </w:rPr>
        <w:t xml:space="preserve">Ergebnis: </w:t>
      </w:r>
      <w:r>
        <w:t>27.189 Fälle von ASCVD unter 271.061 Teilnehmern: Hohes WC (HR 1,35, 95% KI 1,31–1,39) und niedrige GS (HR 1,14, 95% KI 1,11–1,17) waren je unabhängig assoziiert. Kombination höchstes Risiko (HR 1,53, 95% KI 1,46–1,61) mit Hinweis auf additive Interaktion (RERI 0,11, 95% KI 0,03–0,19). Multi-Omics-Analysen zeigen gemeinsame entzündliche und metabolische Mediatoren (Proteine, Metabolite).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 zu Deutschland, aussagekräftige Versorgungsrelevanz</w:t>
      </w:r>
    </w:p>
    <w:p>
      <w:r>
        <w:rPr>
          <w:color w:val="5A7D3A"/>
          <w:sz w:val="18"/>
        </w:rPr>
        <w:t>https://pubmed.ncbi.nlm.nih.gov/42642342/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