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14.10.2026  |  313 Studien  |  adipositas.m-vf.de</w:t>
      </w:r>
    </w:p>
    <w:p>
      <w:pPr>
        <w:pStyle w:val="Heading1"/>
      </w:pPr>
      <w:r>
        <w:t>Aufgenommen am 14.10.2026</w:t>
      </w:r>
    </w:p>
    <w:p>
      <w:pPr>
        <w:pStyle w:val="Heading2"/>
      </w:pPr>
      <w:r>
        <w:t>Mexiko: Ernährungsfachkräfte konzentrieren sich in wohlhabenderen Regionen, fehlen in Primärversorgung</w:t>
      </w:r>
    </w:p>
    <w:p>
      <w:r>
        <w:rPr>
          <w:i/>
          <w:color w:val="666666"/>
          <w:sz w:val="18"/>
        </w:rPr>
        <w:t>Hoyos-Loya E et al.  ·  Rev Peru Med Exp Salud Publica  ·  30.09.2026  ·  PMID 42867955</w:t>
      </w:r>
    </w:p>
    <w:p>
      <w:r>
        <w:t>Ökologische Studie mit Sekundärdaten 2019 und 2023: Dichte von Ernährungsfachkräften (HRN) pro 100.000 Einwohner in Mexiko, Ungleichheit nach Bundesstaat, Versicherungsstatus und Versorgungsebene.</w:t>
      </w:r>
    </w:p>
    <w:p>
      <w:r>
        <w:rPr>
          <w:b/>
        </w:rPr>
        <w:t xml:space="preserve">Ergebnis: </w:t>
      </w:r>
      <w:r>
        <w:t>HRN-Dichte stieg von 5,9 (2019) auf 6,9 pro 100.000 (2023), aber ungleich verteilt. Sekundär-/Tertiärversorgung: 22,41 HRN/100.000, Primärversorgung nur 2,0. Höhere Konzentration in weniger marginalisierten Bundesstaaten (Konzentrationsindex CI=0,13 2019, CI=0,11 2023), bei versicherten Populationen (CI=0,36→0,33), höhere Versorgungsebenen (CI=0,20→0,18). Persistente regionale und Ebenen-Ungleichheiten trotz Gesamtwachstum.</w:t>
      </w:r>
    </w:p>
    <w:p>
      <w:r>
        <w:rPr>
          <w:b/>
          <w:sz w:val="19"/>
        </w:rPr>
        <w:t xml:space="preserve">Übertragbarkeit: </w:t>
      </w:r>
      <w:r>
        <w:rPr>
          <w:sz w:val="19"/>
        </w:rPr>
        <w:t>Mexiko, Verwaltungsdaten; Versorgungsungleichheit und Personalverteilung auch in Deutschland relevant.</w:t>
      </w:r>
    </w:p>
    <w:p>
      <w:r>
        <w:rPr>
          <w:color w:val="5A7D3A"/>
          <w:sz w:val="18"/>
        </w:rPr>
        <w:t>https://pubmed.ncbi.nlm.nih.gov/42867955/</w:t>
      </w:r>
    </w:p>
    <w:p>
      <w:pPr>
        <w:pStyle w:val="Heading2"/>
      </w:pPr>
      <w:r>
        <w:t>Frühgeborene haben niedrigere BMI-Werte – Gewichtskurven divergieren bis Alter 6 Jahren</w:t>
      </w:r>
    </w:p>
    <w:p>
      <w:r>
        <w:rPr>
          <w:i/>
          <w:color w:val="666666"/>
          <w:sz w:val="18"/>
        </w:rPr>
        <w:t>Aoki Y et al.  ·  Eur J Pediatr  ·  13.10.2026  ·  PMID 42867560</w:t>
      </w:r>
    </w:p>
    <w:p>
      <w:r>
        <w:t>Prospektive Kohorte von 93.406 Kindern in Japan: Assoziationen zwischen Frühgeburt und BMI-Trajektorien im Alter 3–6 Jahre mittels linearer Mischeffektmodelle.</w:t>
      </w:r>
    </w:p>
    <w:p>
      <w:r>
        <w:rPr>
          <w:b/>
        </w:rPr>
        <w:t xml:space="preserve">Ergebnis: </w:t>
      </w:r>
      <w:r>
        <w:t>Frühgeborene hatten erhöhte Quoten für Untergewicht (BMI&lt;-2 SD): adjustierte OR 1,35 (95%-CI 0,94–1,93) im Alter 3, 1,43 (1,02–1,99) im Alter 4, 1,70 (1,29–2,25) im Alter 5 und 1,52 (1,20–1,92) im Alter 6 Jahren. Der mittlere BMI-Unterschied lag über 3–6 Jahre konsistent bei 0,11–0,19 kg/m², ohne Konvergenz. Die Befunde deuten auf persistente Wachstumsdifferenzen hin.</w:t>
      </w:r>
    </w:p>
    <w:p>
      <w:r>
        <w:rPr>
          <w:b/>
          <w:sz w:val="19"/>
        </w:rPr>
        <w:t xml:space="preserve">Übertragbarkeit: </w:t>
      </w:r>
      <w:r>
        <w:rPr>
          <w:sz w:val="19"/>
        </w:rPr>
        <w:t>Japan, nationale Geburtskohorte mit vollständiger Verfolgung, aber Ergebnisse zur frühen Prävention relevant.</w:t>
      </w:r>
    </w:p>
    <w:p>
      <w:r>
        <w:rPr>
          <w:color w:val="5A7D3A"/>
          <w:sz w:val="18"/>
        </w:rPr>
        <w:t>https://pubmed.ncbi.nlm.nih.gov/42867560/</w:t>
      </w:r>
    </w:p>
    <w:p>
      <w:pPr>
        <w:pStyle w:val="Heading2"/>
      </w:pPr>
      <w:r>
        <w:t>Elterliche Adipositas verdreifacht bis vervierfacht Risiko für Übergewicht und zentrale Adipositas bei Nachkommen</w:t>
      </w:r>
    </w:p>
    <w:p>
      <w:r>
        <w:rPr>
          <w:i/>
          <w:color w:val="666666"/>
          <w:sz w:val="18"/>
        </w:rPr>
        <w:t>Qian Y et al.  ·  Front Public Health  ·  28.09.2026  ·  PMID 42865493</w:t>
      </w:r>
    </w:p>
    <w:p>
      <w:r>
        <w:t>Prospektive Kohortenstudie China Health and Nutrition Survey (1989–2015): 4.982 Nachkommen ab Alter ≥2 Jahre, stratifiziert nach elterlichem Übergewicht/Adipositas; Langzeit-Trajektorien von BMI, Taillenumfang und Blutdruck mittels linearer Mischeffektmodelle.</w:t>
      </w:r>
    </w:p>
    <w:p>
      <w:r>
        <w:rPr>
          <w:b/>
        </w:rPr>
        <w:t xml:space="preserve">Ergebnis: </w:t>
      </w:r>
      <w:r>
        <w:t>Nachkommen mit beiden adipösen Eltern (Gruppe 4) hatten höchste Basiswerte. Männliche Nachkommen Gruppe 4: HR 3,72 (95%-CI 1,73–7,99) für Übergewicht/Adipositas, HR 2,46 (1,31–4,62) für zentrale Adipositas. Weibliche Nachkommen Gruppe 4: HR 4,60 (1,93–10,94) für Übergewicht/Adipositas. Jährliche Steigerungsraten unterschieden sich nicht konsistent zwischen Gruppen.</w:t>
      </w:r>
    </w:p>
    <w:p>
      <w:r>
        <w:rPr>
          <w:b/>
          <w:sz w:val="19"/>
        </w:rPr>
        <w:t xml:space="preserve">Übertragbarkeit: </w:t>
      </w:r>
      <w:r>
        <w:rPr>
          <w:sz w:val="19"/>
        </w:rPr>
        <w:t>China, nationale Ernährungs- und Gesundheitserhebung; Familienprävention relevant für alle Länder.</w:t>
      </w:r>
    </w:p>
    <w:p>
      <w:r>
        <w:rPr>
          <w:color w:val="5A7D3A"/>
          <w:sz w:val="18"/>
        </w:rPr>
        <w:t>https://pubmed.ncbi.nlm.nih.gov/42865493/</w:t>
      </w:r>
    </w:p>
    <w:p>
      <w:pPr>
        <w:pStyle w:val="Heading2"/>
      </w:pPr>
      <w:r>
        <w:t>Familiengestützte Lebensstiländerung reduzierte Schulfehlzeiten bei Kindern mit Adipositas nicht</w:t>
      </w:r>
    </w:p>
    <w:p>
      <w:r>
        <w:rPr>
          <w:i/>
          <w:color w:val="666666"/>
          <w:sz w:val="18"/>
        </w:rPr>
        <w:t>Nielsen LB et al.  ·  Eur J Pediatr  ·  13.10.2026  ·  PMID 42864531</w:t>
      </w:r>
    </w:p>
    <w:p>
      <w:r>
        <w:t>Dänische Kohortenstudie (2010–2020): 778 Kinder mit Adipositas (Alter 5–8 Jahre), 287 mit einjähriger Lebensstiländerung vs. 491 ohne Intervention; Schulfehlzeiten über 9 Jahre verglichen.</w:t>
      </w:r>
    </w:p>
    <w:p>
      <w:r>
        <w:rPr>
          <w:b/>
        </w:rPr>
        <w:t xml:space="preserve">Ergebnis: </w:t>
      </w:r>
      <w:r>
        <w:t>Kein signifikanter Unterschied in adjustierten Modellen zwischen Interventions- und Kontrollgruppe in den Jahren nach Intervention. Schulfehlzeiten spitzten sich in Jahr 7 zu (6,2 % vs. 5,0 %). Krankheitsbedingte Fehlzeiten waren der Hauptteil der Gesamtabwesenheit. Längere oder zielgerichtetere Interventionen könnten nötig sein.</w:t>
      </w:r>
    </w:p>
    <w:p>
      <w:r>
        <w:rPr>
          <w:b/>
          <w:sz w:val="19"/>
        </w:rPr>
        <w:t xml:space="preserve">Übertragbarkeit: </w:t>
      </w:r>
      <w:r>
        <w:rPr>
          <w:sz w:val="19"/>
        </w:rPr>
        <w:t>Dänemark, Registerdaten, Versorgungsprogramm im öffentlichen Gesundheitssystem – übertragbar auf DACH-Länder.</w:t>
      </w:r>
    </w:p>
    <w:p>
      <w:r>
        <w:rPr>
          <w:color w:val="5A7D3A"/>
          <w:sz w:val="18"/>
        </w:rPr>
        <w:t>https://pubmed.ncbi.nlm.nih.gov/42864531/</w:t>
      </w:r>
    </w:p>
    <w:p>
      <w:pPr>
        <w:pStyle w:val="Heading2"/>
      </w:pPr>
      <w:r>
        <w:t>Bioaktive Lipide differenzieren Übergewicht: Docosanoide und Arachidonsäure-Derivate assoziiert mit niedrigerem BMI</w:t>
      </w:r>
    </w:p>
    <w:p>
      <w:r>
        <w:rPr>
          <w:i/>
          <w:color w:val="666666"/>
          <w:sz w:val="18"/>
        </w:rPr>
        <w:t>Chitsazan M et al.  ·  Diabetes Obes Metab  ·  01.09.2026  ·  PMID 42677506</w:t>
      </w:r>
    </w:p>
    <w:p>
      <w:r>
        <w:t>Querschnittsstudie MESA (n=5.101, Durchschnittsalter 63 Jahre) mit nicht-zielgerichteter Massenspektrometrie: 811 Eicosanoide gemessen, Assoziationen mit BMI und 8 kardiometabolischen Merkmalen mittels multivariater linearer Regression, externe Validierung in Framingham und ARIC.</w:t>
      </w:r>
    </w:p>
    <w:p>
      <w:r>
        <w:rPr>
          <w:b/>
        </w:rPr>
        <w:t xml:space="preserve">Ergebnis: </w:t>
      </w:r>
      <w:r>
        <w:t>255 Eicosanoide und verwandte Metabolite assoziiert mit BMI (FDR q&lt;0,01). 82 zeigten konsistente Assoziationen über alle 3 Kohorten: 9 mit niedrigerem BMI (z. B. 19,20-DiHDPA, 20-Carboxy-Arachidonsäure, 5,6-diHETrE), 9 mit höherem BMI (z. B. HOME, 11-HOME, Adrensäure). 94 % der BMI-assoziierten Metabolite überlappten mit Taillenumfang, 36 % mit viszeralem Fettgewebe. Pro- und anti-inflammatorische Lipidwege differenzieren Adipositas-Phänotypen.</w:t>
      </w:r>
    </w:p>
    <w:p>
      <w:r>
        <w:rPr>
          <w:b/>
          <w:sz w:val="19"/>
        </w:rPr>
        <w:t xml:space="preserve">Übertragbarkeit: </w:t>
      </w:r>
      <w:r>
        <w:rPr>
          <w:sz w:val="19"/>
        </w:rPr>
        <w:t>USA-Kohorte; Mechanismus des Adipositas-Metabolismus relevant für Risikostratifizierung, Übertragbarkeit mittel.</w:t>
      </w:r>
    </w:p>
    <w:p>
      <w:r>
        <w:rPr>
          <w:color w:val="5A7D3A"/>
          <w:sz w:val="18"/>
        </w:rPr>
        <w:t>https://pubmed.ncbi.nlm.nih.gov/42677506/</w:t>
      </w:r>
    </w:p>
    <w:p>
      <w:pPr>
        <w:pStyle w:val="Heading1"/>
      </w:pPr>
      <w:r>
        <w:t>Aufgenommen am 13.10.2026</w:t>
      </w:r>
    </w:p>
    <w:p>
      <w:pPr>
        <w:pStyle w:val="Heading2"/>
      </w:pPr>
      <w:r>
        <w:t>CPAP bei Schlafapnoe und Adipositas: Pulmonalarteriendruck sinkt, aber Herzstruktur bleibt unverändert</w:t>
      </w:r>
    </w:p>
    <w:p>
      <w:r>
        <w:rPr>
          <w:i/>
          <w:color w:val="666666"/>
          <w:sz w:val="18"/>
        </w:rPr>
        <w:t>Li J et al.  ·  Can Respir J  ·  2026  ·  PMID 42861515</w:t>
      </w:r>
    </w:p>
    <w:p>
      <w:r>
        <w:t>Systematischer Review und Metaanalyse von 8 Studien (2 RCTs, 6 Kohorten, 574 Patienten) zur Wirkung von CPAP auf pulmonale Hämodynamik und linksventrikuläre Funktion bei OSA/OHS.</w:t>
      </w:r>
    </w:p>
    <w:p>
      <w:r>
        <w:rPr>
          <w:b/>
        </w:rPr>
        <w:t xml:space="preserve">Ergebnis: </w:t>
      </w:r>
      <w:r>
        <w:t>CPAP reduzierte signifikant den Pulmonalarteriendruck (MD −2,32 mmHg; 95%-KI −3,88 bis −0,76; p=0,004) und verbesserte die diastolische Funktion (E/A-Ratio MD +0,29; 95%-KI +0,09 bis +0,48; p=0,004). Keine signifikanten Effekte auf linksventrikuläre Masse (p=0,27) oder Ejektionsfraktion (p=0,61). Befunde waren robust in Sensitivitätsanalysen.</w:t>
      </w:r>
    </w:p>
    <w:p>
      <w:r>
        <w:rPr>
          <w:b/>
          <w:sz w:val="19"/>
        </w:rPr>
        <w:t xml:space="preserve">Übertragbarkeit: </w:t>
      </w:r>
      <w:r>
        <w:rPr>
          <w:sz w:val="19"/>
        </w:rPr>
        <w:t>China, aber Systematik und Endergebnisse sind behandlungsunabhängig übertragbar</w:t>
      </w:r>
    </w:p>
    <w:p>
      <w:r>
        <w:rPr>
          <w:color w:val="5A7D3A"/>
          <w:sz w:val="18"/>
        </w:rPr>
        <w:t>https://pubmed.ncbi.nlm.nih.gov/42861515/</w:t>
      </w:r>
    </w:p>
    <w:p>
      <w:pPr>
        <w:pStyle w:val="Heading2"/>
      </w:pPr>
      <w:r>
        <w:t>Antipsychotika und Adipositas: Strukturierte Diagnostik und Metformin in der psychiatrischen Praxis</w:t>
      </w:r>
    </w:p>
    <w:p>
      <w:r>
        <w:rPr>
          <w:i/>
          <w:color w:val="666666"/>
          <w:sz w:val="18"/>
        </w:rPr>
        <w:t>Wichniak A et al.  ·  Psychiatr Pol  ·  30.08.2026  ·  PMID 42857934</w:t>
      </w:r>
    </w:p>
    <w:p>
      <w:r>
        <w:t>Klinische Handlungsempfehlungen der Polnischen Psychiatrischen Gesellschaft zu Prävention metabolischer Störungen bei Patienten unter Antipsychotika mit konkretisierten Überwachungsintervallen und Therapieempfehlungen.</w:t>
      </w:r>
    </w:p>
    <w:p>
      <w:r>
        <w:rPr>
          <w:b/>
        </w:rPr>
        <w:t xml:space="preserve">Ergebnis: </w:t>
      </w:r>
      <w:r>
        <w:t>Cardiometabolische Risikoerfassung (Gewicht, Taillenumfang, Blutdruck, Blutzucker, HbA1c, Lipidprofil) vor Therapiestart, dann in Woche 6, 12 und dann jährlich empfohlen. Bei Gewichtszunahme und Risikofaktoren: Metformin 1.000–2.000 mg/Tag als beste dokumentierte, sichere und kostengünstige Präventionsmethode; Adipöse Patienten sollten eine wirksame Pharmakotherapie nach aktuellen Leitlinien erhalten.</w:t>
      </w:r>
    </w:p>
    <w:p>
      <w:r>
        <w:rPr>
          <w:b/>
          <w:sz w:val="19"/>
        </w:rPr>
        <w:t xml:space="preserve">Übertragbarkeit: </w:t>
      </w:r>
      <w:r>
        <w:rPr>
          <w:sz w:val="19"/>
        </w:rPr>
        <w:t>Polen, europäisches Versicherungssystem, psychiatrische Standardversorgung</w:t>
      </w:r>
    </w:p>
    <w:p>
      <w:r>
        <w:rPr>
          <w:color w:val="5A7D3A"/>
          <w:sz w:val="18"/>
        </w:rPr>
        <w:t>https://pubmed.ncbi.nlm.nih.gov/42857934/</w:t>
      </w:r>
    </w:p>
    <w:p>
      <w:pPr>
        <w:pStyle w:val="Heading2"/>
      </w:pPr>
      <w:r>
        <w:t>Gewichtsmanagement in der Schwangerschaft: Minderheitenangehörige Frauen in UK erhalten keine kulturgerechte Unterstützung</w:t>
      </w:r>
    </w:p>
    <w:p>
      <w:r>
        <w:rPr>
          <w:i/>
          <w:color w:val="666666"/>
          <w:sz w:val="18"/>
        </w:rPr>
        <w:t>Morsy B et al.  ·  Front Public Health  ·  25.09.2026  ·  PMID 42856522</w:t>
      </w:r>
    </w:p>
    <w:p>
      <w:r>
        <w:t>Scoping Review zur Gewichtskontrolle in der Schwangerschaft bei ethnischen Minderheiten im UK: Nur 3 Studien mit 1.741 Teilnehmerinnen gefunden, alle ohne kulturelle Anpassung und mit unzureichenden ethnischen Untergruppen-Analysen.</w:t>
      </w:r>
    </w:p>
    <w:p>
      <w:r>
        <w:rPr>
          <w:b/>
        </w:rPr>
        <w:t xml:space="preserve">Ergebnis: </w:t>
      </w:r>
      <w:r>
        <w:t>Von 3 eingeschlossenen Studien (2016–2025) zeigten alle unzureichende kulturelle Anpassung und fragmentierte ethnisch stratifizierte Datenberichte. Minderheitenangehörige Frauen zeigten niedrigere Beteiligung; keine Studie konnte nachweisen, ob Interventionen ethnische Unterschiede in Gestationsdiabetes-Ergebnissen reduzierten. Die Evidenzlücke zu kulturgerechten Programmen ist erheblich.</w:t>
      </w:r>
    </w:p>
    <w:p>
      <w:r>
        <w:rPr>
          <w:b/>
          <w:sz w:val="19"/>
        </w:rPr>
        <w:t xml:space="preserve">Übertragbarkeit: </w:t>
      </w:r>
      <w:r>
        <w:rPr>
          <w:sz w:val="19"/>
        </w:rPr>
        <w:t>Vereinigtes Königreich, vergleichbares Sozialversicherungssystem, relevante Equity-Fragestellung</w:t>
      </w:r>
    </w:p>
    <w:p>
      <w:r>
        <w:rPr>
          <w:color w:val="5A7D3A"/>
          <w:sz w:val="18"/>
        </w:rPr>
        <w:t>https://pubmed.ncbi.nlm.nih.gov/42856522/</w:t>
      </w:r>
    </w:p>
    <w:p>
      <w:pPr>
        <w:pStyle w:val="Heading2"/>
      </w:pPr>
      <w:r>
        <w:t>Magenverweilstörung nach Pankreatoduodenektomie: Zwei Anastomose-Techniken zeigen keinen Unterschied</w:t>
      </w:r>
    </w:p>
    <w:p>
      <w:r>
        <w:rPr>
          <w:i/>
          <w:color w:val="666666"/>
          <w:sz w:val="18"/>
        </w:rPr>
        <w:t>Robin F et al.  ·  Ann Surg  ·  01.11.2026  ·  PMID 42832388</w:t>
      </w:r>
    </w:p>
    <w:p>
      <w:r>
        <w:t>Randomisierte kontrolierte Studie an 2 französischen Hochvolumen-Zentren mit 158 Patienten (79 pro Gruppe), die zwei Techniken der Magenverweilstörung nach Pankreatoduodenektomie verglichen.</w:t>
      </w:r>
    </w:p>
    <w:p>
      <w:r>
        <w:rPr>
          <w:b/>
        </w:rPr>
        <w:t xml:space="preserve">Ergebnis: </w:t>
      </w:r>
      <w:r>
        <w:t>Magenverweilstörung (DGE) trat bei 38,0% nach side-to-side und 30,4% nach end-to-side Technik auf (RR 1,25; 95%-KI 0,81–1,94; p=0,314). Sekundäre Endpunkte (Fistelrate, Reinvasionen, Mortalität, Lebensqualität nach GIQLI) unterschieden sich nicht signifikant zwischen Gruppen. Ernährungsparameter und Lebensqualität waren vergleichbar.</w:t>
      </w:r>
    </w:p>
    <w:p>
      <w:r>
        <w:rPr>
          <w:b/>
          <w:sz w:val="19"/>
        </w:rPr>
        <w:t xml:space="preserve">Übertragbarkeit: </w:t>
      </w:r>
      <w:r>
        <w:rPr>
          <w:sz w:val="19"/>
        </w:rPr>
        <w:t>Frankreich, vergleichbares Gesundheitssystem, hochspezialisierte chirurgische Versorgung</w:t>
      </w:r>
    </w:p>
    <w:p>
      <w:r>
        <w:rPr>
          <w:color w:val="5A7D3A"/>
          <w:sz w:val="18"/>
        </w:rPr>
        <w:t>https://pubmed.ncbi.nlm.nih.gov/42832388/</w:t>
      </w:r>
    </w:p>
    <w:p>
      <w:pPr>
        <w:pStyle w:val="Heading2"/>
      </w:pPr>
      <w:r>
        <w:t>Frühe Menarche und Menopause: Taillenumfang mediiert kardiovaskuläres Risiko bei postmenopausalen Frauen</w:t>
      </w:r>
    </w:p>
    <w:p>
      <w:r>
        <w:rPr>
          <w:i/>
          <w:color w:val="666666"/>
          <w:sz w:val="18"/>
        </w:rPr>
        <w:t>Borrowman JD et al.  ·  J Am Heart Assoc  ·  06.10.2026  ·  PMID 42786622</w:t>
      </w:r>
    </w:p>
    <w:p>
      <w:r>
        <w:t>Prospektive Kohortenstudie mit 119.182 postmenopausalen Frauen aus WHI (Oktober 1993–Januar 2025 Follow-up); Untersuchung von Reproduktionsmerkmalen und abdominaler Adipositas als Mediatoren des CVD-Risikos.</w:t>
      </w:r>
    </w:p>
    <w:p>
      <w:r>
        <w:rPr>
          <w:b/>
        </w:rPr>
        <w:t xml:space="preserve">Ergebnis: </w:t>
      </w:r>
      <w:r>
        <w:t>Über Median 12,8 Jahre traten 12.731 kardiovaskuläre Ereignisse auf (Rate 10,4/1.000 Personenjahre). Frühe Menarche (HR 1,07; 95%-KI 1,01–1,15), frühe Menopause (HR 1,22; 95%-KI 1,11–1,35) und kurze Reproduktionslifespan (HR 1,21; 95%-KI 1,13–1,29) waren mit CVD assoziiert. Taillenumfang war signifikanter Mediator aller drei Assoziationen. Diese Befunde zeigen, dass abdominale Adipositas einen wesentlichen Pfad zwischen Reproduktionsfaktoren und kardiovaskulärem Risiko darstellt.</w:t>
      </w:r>
    </w:p>
    <w:p>
      <w:r>
        <w:rPr>
          <w:b/>
          <w:sz w:val="19"/>
        </w:rPr>
        <w:t xml:space="preserve">Übertragbarkeit: </w:t>
      </w:r>
      <w:r>
        <w:rPr>
          <w:sz w:val="19"/>
        </w:rPr>
        <w:t>USA, aber Fragestellung und Medations-Befunde sind universell übertragbar</w:t>
      </w:r>
    </w:p>
    <w:p>
      <w:r>
        <w:rPr>
          <w:color w:val="5A7D3A"/>
          <w:sz w:val="18"/>
        </w:rPr>
        <w:t>https://pubmed.ncbi.nlm.nih.gov/42786622/</w:t>
      </w:r>
    </w:p>
    <w:p>
      <w:pPr>
        <w:pStyle w:val="Heading2"/>
      </w:pPr>
      <w:r>
        <w:t>Berberin-Kombipräparat: Geringe Verbesserung von Insulinsensitivität und Körperfettmasse über 12 Wochen</w:t>
      </w:r>
    </w:p>
    <w:p>
      <w:r>
        <w:rPr>
          <w:i/>
          <w:color w:val="666666"/>
          <w:sz w:val="18"/>
        </w:rPr>
        <w:t>Xenos K et al.  ·  Nutrients  ·  27.08.2026  ·  PMID 42738972</w:t>
      </w:r>
    </w:p>
    <w:p>
      <w:r>
        <w:t>Randomisierte kontrollierte 12-Wochen-Studie mit 93 griechischen Erwachsenen mit Adipositas; Kombination von Berberin (1.000 mg), Maulbeerbaum-Extrakt (400 mg) und Chrom-Pikotinat (0,644 mg) versus Placebo.</w:t>
      </w:r>
    </w:p>
    <w:p>
      <w:r>
        <w:rPr>
          <w:b/>
        </w:rPr>
        <w:t xml:space="preserve">Ergebnis: </w:t>
      </w:r>
      <w:r>
        <w:t>Aktive Gruppe vs. Placebo zeigte signifikante Reduktion: BMI −1,24 kg/m² (95%-KI −2,15 bis −0,33), Gesamtkörperfett −2,35 kg (95%-KI −4,12 bis −0,58), viszerales Fett −0,92 Einheiten (95%-KI −1,74 bis −0,10). Insulinsensitivität verbesserte sich um 28% stärker in der aktiven Gruppe (geometrisches Mittel-Ratio 1,28; 95%-KI 1,14–1,44). Einzelkomponenten-Beiträge ungeklärt.</w:t>
      </w:r>
    </w:p>
    <w:p>
      <w:r>
        <w:rPr>
          <w:b/>
          <w:sz w:val="19"/>
        </w:rPr>
        <w:t xml:space="preserve">Übertragbarkeit: </w:t>
      </w:r>
      <w:r>
        <w:rPr>
          <w:sz w:val="19"/>
        </w:rPr>
        <w:t>Griechenland, europäisches System, aber geringe Effektstärke und kurze Dauer</w:t>
      </w:r>
    </w:p>
    <w:p>
      <w:r>
        <w:rPr>
          <w:color w:val="5A7D3A"/>
          <w:sz w:val="18"/>
        </w:rPr>
        <w:t>https://pubmed.ncbi.nlm.nih.gov/42738972/</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2026-10-14T06:00:00Z</dcterms:created>
  <dcterms:modified xsi:type="dcterms:W3CDTF">2026-10-14T06:00:00Z</dcterms:modified>
  <cp:category/>
</cp:coreProperties>
</file>