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07.10.2026  |  6 Studien  |  adipositas.m-vf.de</w:t>
      </w:r>
    </w:p>
    <w:p>
      <w:pPr>
        <w:pStyle w:val="Heading1"/>
      </w:pPr>
      <w:r>
        <w:t>Aufgenommen am 07.10.2026</w:t>
      </w:r>
    </w:p>
    <w:p>
      <w:pPr>
        <w:pStyle w:val="Heading2"/>
      </w:pPr>
      <w:r>
        <w:t>GLP-1-Rezeptoragonisten bei Schlafapnoe: Reduktion um 10 Ereignisse pro Stunde</w:t>
      </w:r>
    </w:p>
    <w:p>
      <w:r>
        <w:rPr>
          <w:i/>
          <w:color w:val="666666"/>
          <w:sz w:val="18"/>
        </w:rPr>
        <w:t>Carvalhal G et al.  ·  Sleep Breath  ·  06.10.2026  ·  PMID 42837024</w:t>
      </w:r>
    </w:p>
    <w:p>
      <w:r>
        <w:t>Metaanalyse von 6 randomisierten kontrollierten Studien (n=1.069, 4× Liraglutid, 2× Tirzepatid) zu Effektivität und Sicherheit bei moderater bis schwerer obstruktiver Schlafapnoe.</w:t>
      </w:r>
    </w:p>
    <w:p>
      <w:r>
        <w:rPr>
          <w:b/>
        </w:rPr>
        <w:t xml:space="preserve">Ergebnis: </w:t>
      </w:r>
      <w:r>
        <w:t>GLP-1-Therapie reduzierte Apnoe-Hypopnoe-Index um −9,99 Ereignisse/Stunde (95%-KI: −16,47 bis −3,50, p&lt;0,01) und Körpergewicht um −9,68 kg (95%-KI: −15,84 bis −3,51, p&lt;0,01). Systolischer und diastolischer Blutdruck sanken um −4,77 bzw. −1,41 mmHg. Keine erhöhten unerwünschten Ereignisse.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USA/international; Kostenfrage in Deutschland entscheidend – Paragraph 34 SGB V schließt Arzneimittel aus.</w:t>
      </w:r>
    </w:p>
    <w:p>
      <w:r>
        <w:rPr>
          <w:color w:val="5A7D3A"/>
          <w:sz w:val="18"/>
        </w:rPr>
        <w:t>https://pubmed.ncbi.nlm.nih.gov/42837024/</w:t>
      </w:r>
    </w:p>
    <w:p>
      <w:pPr>
        <w:pStyle w:val="Heading2"/>
      </w:pPr>
      <w:r>
        <w:t>Chaotisches Zuhause fördert emotionales Überessen bei Kindern</w:t>
      </w:r>
    </w:p>
    <w:p>
      <w:r>
        <w:rPr>
          <w:i/>
          <w:color w:val="666666"/>
          <w:sz w:val="18"/>
        </w:rPr>
        <w:t>Zhang Z et al.  ·  Front Public Health  ·  21.09.2026  ·  PMID 42835025</w:t>
      </w:r>
    </w:p>
    <w:p>
      <w:r>
        <w:t>Querschnittstudie mit Längsbeobachtung bei 92 Vorschülern und 184 Schulkindern zu Zusammenhang zwischen Haushalts-Chaos und appetitiven Merkmalen.</w:t>
      </w:r>
    </w:p>
    <w:p>
      <w:r>
        <w:rPr>
          <w:b/>
        </w:rPr>
        <w:t xml:space="preserve">Ergebnis: </w:t>
      </w:r>
      <w:r>
        <w:t>Chaos korrelierte positiv mit emotionalem Überessen in beiden Kohorten (Vorschüler: β=0,18, p=0,04; Schulkinder: β=0,19, p=0,003). Bei Schulkindern zusätzlich höhere Essensreaktivität (β=0,21, p&lt;0,001) und niedrigere Sättigungsreaktivität (β=−0,14, p=0,03).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Mechanismus (Stressverarbeitung) kulturübergreifend relevant; modulierbar durch Familienunterstützung.</w:t>
      </w:r>
    </w:p>
    <w:p>
      <w:r>
        <w:rPr>
          <w:color w:val="5A7D3A"/>
          <w:sz w:val="18"/>
        </w:rPr>
        <w:t>https://pubmed.ncbi.nlm.nih.gov/42835025/</w:t>
      </w:r>
    </w:p>
    <w:p>
      <w:pPr>
        <w:pStyle w:val="Heading2"/>
      </w:pPr>
      <w:r>
        <w:t>Adipositas in Katar: 74 % übergewichtig, Familie und Geschlecht als Risikofaktoren</w:t>
      </w:r>
    </w:p>
    <w:p>
      <w:r>
        <w:rPr>
          <w:i/>
          <w:color w:val="666666"/>
          <w:sz w:val="18"/>
        </w:rPr>
        <w:t>Al-Thani MH et al.  ·  BMJ Open  ·  05.10.2026  ·  PMID 42833715</w:t>
      </w:r>
    </w:p>
    <w:p>
      <w:r>
        <w:t>Nationale Querschnittstudie (Mai–Dezember 2023) mit 5.696 erwachsenen Katarern zur Prävalenz und Risikofaktoren von Übergewicht und Adipositas.</w:t>
      </w:r>
    </w:p>
    <w:p>
      <w:r>
        <w:rPr>
          <w:b/>
        </w:rPr>
        <w:t xml:space="preserve">Ergebnis: </w:t>
      </w:r>
      <w:r>
        <w:t>Kombinierte Prävalenz von Übergewicht und Adipositas 74,2 % (Übergewicht 36,4 %, Adipositas 37,8 %). Höchstes Risiko bei Frauen, Alter ≥45 Jahren, Familiengeschichte Adipositas (aRRR=2,17, p=0,004), höherer Herzfrequenz und niedrigerem HDL-Cholesterin (aRRR=0,37, p=0,003).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Gering – Golfstaat, andere Erwerbstätigenstruktur; Prävalenztrends aber global relevant.</w:t>
      </w:r>
    </w:p>
    <w:p>
      <w:r>
        <w:rPr>
          <w:color w:val="5A7D3A"/>
          <w:sz w:val="18"/>
        </w:rPr>
        <w:t>https://pubmed.ncbi.nlm.nih.gov/42833715/</w:t>
      </w:r>
    </w:p>
    <w:p>
      <w:pPr>
        <w:pStyle w:val="Heading2"/>
      </w:pPr>
      <w:r>
        <w:t>Alkohol erhöht Metabolisches Syndrom: Sport reduziert, hebt aber nicht auf</w:t>
      </w:r>
    </w:p>
    <w:p>
      <w:r>
        <w:rPr>
          <w:i/>
          <w:color w:val="666666"/>
          <w:sz w:val="18"/>
        </w:rPr>
        <w:t>Courtney JB et al.  ·  Alcohol Alcohol  ·  20.09.2026  ·  PMID 42831802</w:t>
      </w:r>
    </w:p>
    <w:p>
      <w:r>
        <w:t>Querschnittanalyse der US-Nationale Health and Nutrition Examination Survey (2011–2020, n=3.227–5.586) zu Wechselwirkung von körperlicher Aktivität und Alkoholkonsum mit Metabolischem Syndrom.</w:t>
      </w:r>
    </w:p>
    <w:p>
      <w:r>
        <w:rPr>
          <w:b/>
        </w:rPr>
        <w:t xml:space="preserve">Ergebnis: </w:t>
      </w:r>
      <w:r>
        <w:t>Höhere körperliche Aktivität (Q2–Q4) reduzierte MetS-Risikofaktoren dosisabhängig (Q4: IRR=0,73, 95%-KI: 0,67–0,80). Alkoholkonsum ≤0,50–0,75 Drinks/Tag mit moderater Aktivität (Q3–Q4) assoziiert mit niedrigerem MetS-Risiko (OR=0,43–0,44). Substanzielle Heterogenität bei hohem Alkoholkonsum aufgrund Datensparsamkeit.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Evidenz zur Dosis-Wirkung und Prävention durch Lebensstil übertragbar auf Deutschland.</w:t>
      </w:r>
    </w:p>
    <w:p>
      <w:r>
        <w:rPr>
          <w:color w:val="5A7D3A"/>
          <w:sz w:val="18"/>
        </w:rPr>
        <w:t>https://pubmed.ncbi.nlm.nih.gov/42831802/</w:t>
      </w:r>
    </w:p>
    <w:p>
      <w:pPr>
        <w:pStyle w:val="Heading2"/>
      </w:pPr>
      <w:r>
        <w:t>Adipositas und Nierensteine: Geschlechtsspezifische Unterschiede in 10-Jahres-Verlauf</w:t>
      </w:r>
    </w:p>
    <w:p>
      <w:r>
        <w:rPr>
          <w:i/>
          <w:color w:val="666666"/>
          <w:sz w:val="18"/>
        </w:rPr>
        <w:t>Tao K et al.  ·  Urolithiasis  ·  03.10.2026  ·  PMID 42828682</w:t>
      </w:r>
    </w:p>
    <w:p>
      <w:r>
        <w:t>Retrospektive Kohortenstudie mit 10 Jahren Nachbeobachtung (n=24.418) zu Geschlechts-Unterschieden zwischen anthropometrischen Indizes und Nierensteinrisiko.</w:t>
      </w:r>
    </w:p>
    <w:p>
      <w:r>
        <w:rPr>
          <w:b/>
        </w:rPr>
        <w:t xml:space="preserve">Ergebnis: </w:t>
      </w:r>
      <w:r>
        <w:t>Bei Männern: Taille, Hüftumfang, BMI, gewichtsangepasster Taille-Index und Body-Roundness-Index signifikant mit Nierenstein-Inzidenz assoziiert (alle HR 1,06–1,11, p&lt;0,001). Bei Frauen nur baseline-BMI relevant (HR=1,35, p=0,016); Längseffekte bei Frauen nicht signifikant. Geschlechtsspezifische Mechanismen offensichtlich.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metabolisch-urologische Pathophysiologie universell; Fettverteilung bei Männern stärker prädiktiv.</w:t>
      </w:r>
    </w:p>
    <w:p>
      <w:r>
        <w:rPr>
          <w:color w:val="5A7D3A"/>
          <w:sz w:val="18"/>
        </w:rPr>
        <w:t>https://pubmed.ncbi.nlm.nih.gov/42828682/</w:t>
      </w:r>
    </w:p>
    <w:p>
      <w:pPr>
        <w:pStyle w:val="Heading2"/>
      </w:pPr>
      <w:r>
        <w:t>Nachhaltige Ernährung und Adipositas: Unerwartet höheres Risiko trotz optimierter Diät</w:t>
      </w:r>
    </w:p>
    <w:p>
      <w:r>
        <w:rPr>
          <w:i/>
          <w:color w:val="666666"/>
          <w:sz w:val="18"/>
        </w:rPr>
        <w:t>Bergmann C et al.  ·  Am J Clin Nutr  ·  11.08.2026  ·  PMID 42580635</w:t>
      </w:r>
    </w:p>
    <w:p>
      <w:r>
        <w:t>Longitudinale Kohortenstudie (7 Jahre) bei 1.499 Ghanaern zu Zusammenhang zwischen optimierter nachhaltiger Ernährung (niedrige Emissionen, Kosten) und Adipositasinzidenz.</w:t>
      </w:r>
    </w:p>
    <w:p>
      <w:r>
        <w:rPr>
          <w:b/>
        </w:rPr>
        <w:t xml:space="preserve">Ergebnis: </w:t>
      </w:r>
      <w:r>
        <w:t>Höhere Adhärenz zur optimierten Ernährung war mit 19 % erhöhtem Risiko für abdominale Adipositas assoziiert (95%-KI: 1,00–1,42; p=0,049), signifikant in ländlichen und städtischen Gebieten. Gesamtadherenz war niedrig, was unerwartet inverse Befunde erklären könnte.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Ghana, vergleichbar strukturiertes Gesundheitswesen; begrenzte Übertragbarkeit des Effekts auf Deutschland ohne lokale Validierung.</w:t>
      </w:r>
    </w:p>
    <w:p>
      <w:r>
        <w:rPr>
          <w:color w:val="5A7D3A"/>
          <w:sz w:val="18"/>
        </w:rPr>
        <w:t>https://pubmed.ncbi.nlm.nih.gov/42580635/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2026-10-07T06:00:00Z</dcterms:created>
  <dcterms:modified xsi:type="dcterms:W3CDTF">2026-10-07T06:00:00Z</dcterms:modified>
  <cp:category/>
</cp:coreProperties>
</file>