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Adipositas</w:t>
      </w:r>
    </w:p>
    <w:p>
      <w:r>
        <w:rPr>
          <w:i/>
          <w:color w:val="666666"/>
          <w:sz w:val="18"/>
        </w:rPr>
        <w:t>Stand: 07.10.2026  |  275 Studien  |  adipositas.m-vf.de</w:t>
      </w:r>
    </w:p>
    <w:p>
      <w:pPr>
        <w:pStyle w:val="Heading1"/>
      </w:pPr>
      <w:r>
        <w:t>Aufgenommen am 07.10.2026</w:t>
      </w:r>
    </w:p>
    <w:p>
      <w:pPr>
        <w:pStyle w:val="Heading2"/>
      </w:pPr>
      <w:r>
        <w:t>GLP-1-Rezeptoragonisten bei Schlafapnoe: Reduktion um 10 Ereignisse pro Stunde</w:t>
      </w:r>
    </w:p>
    <w:p>
      <w:r>
        <w:rPr>
          <w:i/>
          <w:color w:val="666666"/>
          <w:sz w:val="18"/>
        </w:rPr>
        <w:t>Carvalhal G et al.  ·  Sleep Breath  ·  06.10.2026  ·  PMID 42837024</w:t>
      </w:r>
    </w:p>
    <w:p>
      <w:r>
        <w:t>Metaanalyse von 6 randomisierten kontrollierten Studien (n=1.069, 4× Liraglutid, 2× Tirzepatid) zu Effektivität und Sicherheit bei moderater bis schwerer obstruktiver Schlafapnoe.</w:t>
      </w:r>
    </w:p>
    <w:p>
      <w:r>
        <w:rPr>
          <w:b/>
        </w:rPr>
        <w:t xml:space="preserve">Ergebnis: </w:t>
      </w:r>
      <w:r>
        <w:t>GLP-1-Therapie reduzierte Apnoe-Hypopnoe-Index um −9,99 Ereignisse/Stunde (95%-KI: −16,47 bis −3,50, p&lt;0,01) und Körpergewicht um −9,68 kg (95%-KI: −15,84 bis −3,51, p&lt;0,01). Systolischer und diastolischer Blutdruck sanken um −4,77 bzw. −1,41 mmHg. Keine erhöhten unerwünschten Ereignisse.</w:t>
      </w:r>
    </w:p>
    <w:p>
      <w:r>
        <w:rPr>
          <w:b/>
          <w:sz w:val="19"/>
        </w:rPr>
        <w:t xml:space="preserve">Übertragbarkeit: </w:t>
      </w:r>
      <w:r>
        <w:rPr>
          <w:sz w:val="19"/>
        </w:rPr>
        <w:t>USA/international; Kostenfrage in Deutschland entscheidend – Paragraph 34 SGB V schließt Arzneimittel aus.</w:t>
      </w:r>
    </w:p>
    <w:p>
      <w:r>
        <w:rPr>
          <w:color w:val="5A7D3A"/>
          <w:sz w:val="18"/>
        </w:rPr>
        <w:t>https://pubmed.ncbi.nlm.nih.gov/42837024/</w:t>
      </w:r>
    </w:p>
    <w:p>
      <w:pPr>
        <w:pStyle w:val="Heading2"/>
      </w:pPr>
      <w:r>
        <w:t>Chaotisches Zuhause fördert emotionales Überessen bei Kindern</w:t>
      </w:r>
    </w:p>
    <w:p>
      <w:r>
        <w:rPr>
          <w:i/>
          <w:color w:val="666666"/>
          <w:sz w:val="18"/>
        </w:rPr>
        <w:t>Zhang Z et al.  ·  Front Public Health  ·  21.09.2026  ·  PMID 42835025</w:t>
      </w:r>
    </w:p>
    <w:p>
      <w:r>
        <w:t>Querschnittstudie mit Längsbeobachtung bei 92 Vorschülern und 184 Schulkindern zu Zusammenhang zwischen Haushalts-Chaos und appetitiven Merkmalen.</w:t>
      </w:r>
    </w:p>
    <w:p>
      <w:r>
        <w:rPr>
          <w:b/>
        </w:rPr>
        <w:t xml:space="preserve">Ergebnis: </w:t>
      </w:r>
      <w:r>
        <w:t>Chaos korrelierte positiv mit emotionalem Überessen in beiden Kohorten (Vorschüler: β=0,18, p=0,04; Schulkinder: β=0,19, p=0,003). Bei Schulkindern zusätzlich höhere Essensreaktivität (β=0,21, p&lt;0,001) und niedrigere Sättigungsreaktivität (β=−0,14, p=0,03).</w:t>
      </w:r>
    </w:p>
    <w:p>
      <w:r>
        <w:rPr>
          <w:b/>
          <w:sz w:val="19"/>
        </w:rPr>
        <w:t xml:space="preserve">Übertragbarkeit: </w:t>
      </w:r>
      <w:r>
        <w:rPr>
          <w:sz w:val="19"/>
        </w:rPr>
        <w:t>USA, aber Mechanismus (Stressverarbeitung) kulturübergreifend relevant; modulierbar durch Familienunterstützung.</w:t>
      </w:r>
    </w:p>
    <w:p>
      <w:r>
        <w:rPr>
          <w:color w:val="5A7D3A"/>
          <w:sz w:val="18"/>
        </w:rPr>
        <w:t>https://pubmed.ncbi.nlm.nih.gov/42835025/</w:t>
      </w:r>
    </w:p>
    <w:p>
      <w:pPr>
        <w:pStyle w:val="Heading2"/>
      </w:pPr>
      <w:r>
        <w:t>Adipositas in Katar: 74 % übergewichtig, Familie und Geschlecht als Risikofaktoren</w:t>
      </w:r>
    </w:p>
    <w:p>
      <w:r>
        <w:rPr>
          <w:i/>
          <w:color w:val="666666"/>
          <w:sz w:val="18"/>
        </w:rPr>
        <w:t>Al-Thani MH et al.  ·  BMJ Open  ·  05.10.2026  ·  PMID 42833715</w:t>
      </w:r>
    </w:p>
    <w:p>
      <w:r>
        <w:t>Nationale Querschnittstudie (Mai–Dezember 2023) mit 5.696 erwachsenen Katarern zur Prävalenz und Risikofaktoren von Übergewicht und Adipositas.</w:t>
      </w:r>
    </w:p>
    <w:p>
      <w:r>
        <w:rPr>
          <w:b/>
        </w:rPr>
        <w:t xml:space="preserve">Ergebnis: </w:t>
      </w:r>
      <w:r>
        <w:t>Kombinierte Prävalenz von Übergewicht und Adipositas 74,2 % (Übergewicht 36,4 %, Adipositas 37,8 %). Höchstes Risiko bei Frauen, Alter ≥45 Jahren, Familiengeschichte Adipositas (aRRR=2,17, p=0,004), höherer Herzfrequenz und niedrigerem HDL-Cholesterin (aRRR=0,37, p=0,003).</w:t>
      </w:r>
    </w:p>
    <w:p>
      <w:r>
        <w:rPr>
          <w:b/>
          <w:sz w:val="19"/>
        </w:rPr>
        <w:t xml:space="preserve">Übertragbarkeit: </w:t>
      </w:r>
      <w:r>
        <w:rPr>
          <w:sz w:val="19"/>
        </w:rPr>
        <w:t>Gering – Golfstaat, andere Erwerbstätigenstruktur; Prävalenztrends aber global relevant.</w:t>
      </w:r>
    </w:p>
    <w:p>
      <w:r>
        <w:rPr>
          <w:color w:val="5A7D3A"/>
          <w:sz w:val="18"/>
        </w:rPr>
        <w:t>https://pubmed.ncbi.nlm.nih.gov/42833715/</w:t>
      </w:r>
    </w:p>
    <w:p>
      <w:pPr>
        <w:pStyle w:val="Heading2"/>
      </w:pPr>
      <w:r>
        <w:t>Alkohol erhöht Metabolisches Syndrom: Sport reduziert, hebt aber nicht auf</w:t>
      </w:r>
    </w:p>
    <w:p>
      <w:r>
        <w:rPr>
          <w:i/>
          <w:color w:val="666666"/>
          <w:sz w:val="18"/>
        </w:rPr>
        <w:t>Courtney JB et al.  ·  Alcohol Alcohol  ·  20.09.2026  ·  PMID 42831802</w:t>
      </w:r>
    </w:p>
    <w:p>
      <w:r>
        <w:t>Querschnittanalyse der US-Nationale Health and Nutrition Examination Survey (2011–2020, n=3.227–5.586) zu Wechselwirkung von körperlicher Aktivität und Alkoholkonsum mit Metabolischem Syndrom.</w:t>
      </w:r>
    </w:p>
    <w:p>
      <w:r>
        <w:rPr>
          <w:b/>
        </w:rPr>
        <w:t xml:space="preserve">Ergebnis: </w:t>
      </w:r>
      <w:r>
        <w:t>Höhere körperliche Aktivität (Q2–Q4) reduzierte MetS-Risikofaktoren dosisabhängig (Q4: IRR=0,73, 95%-KI: 0,67–0,80). Alkoholkonsum ≤0,50–0,75 Drinks/Tag mit moderater Aktivität (Q3–Q4) assoziiert mit niedrigerem MetS-Risiko (OR=0,43–0,44). Substanzielle Heterogenität bei hohem Alkoholkonsum aufgrund Datensparsamkeit.</w:t>
      </w:r>
    </w:p>
    <w:p>
      <w:r>
        <w:rPr>
          <w:b/>
          <w:sz w:val="19"/>
        </w:rPr>
        <w:t xml:space="preserve">Übertragbarkeit: </w:t>
      </w:r>
      <w:r>
        <w:rPr>
          <w:sz w:val="19"/>
        </w:rPr>
        <w:t>USA, aber Evidenz zur Dosis-Wirkung und Prävention durch Lebensstil übertragbar auf Deutschland.</w:t>
      </w:r>
    </w:p>
    <w:p>
      <w:r>
        <w:rPr>
          <w:color w:val="5A7D3A"/>
          <w:sz w:val="18"/>
        </w:rPr>
        <w:t>https://pubmed.ncbi.nlm.nih.gov/42831802/</w:t>
      </w:r>
    </w:p>
    <w:p>
      <w:pPr>
        <w:pStyle w:val="Heading2"/>
      </w:pPr>
      <w:r>
        <w:t>Adipositas und Nierensteine: Geschlechtsspezifische Unterschiede in 10-Jahres-Verlauf</w:t>
      </w:r>
    </w:p>
    <w:p>
      <w:r>
        <w:rPr>
          <w:i/>
          <w:color w:val="666666"/>
          <w:sz w:val="18"/>
        </w:rPr>
        <w:t>Tao K et al.  ·  Urolithiasis  ·  03.10.2026  ·  PMID 42828682</w:t>
      </w:r>
    </w:p>
    <w:p>
      <w:r>
        <w:t>Retrospektive Kohortenstudie mit 10 Jahren Nachbeobachtung (n=24.418) zu Geschlechts-Unterschieden zwischen anthropometrischen Indizes und Nierensteinrisiko.</w:t>
      </w:r>
    </w:p>
    <w:p>
      <w:r>
        <w:rPr>
          <w:b/>
        </w:rPr>
        <w:t xml:space="preserve">Ergebnis: </w:t>
      </w:r>
      <w:r>
        <w:t>Bei Männern: Taille, Hüftumfang, BMI, gewichtsangepasster Taille-Index und Body-Roundness-Index signifikant mit Nierenstein-Inzidenz assoziiert (alle HR 1,06–1,11, p&lt;0,001). Bei Frauen nur baseline-BMI relevant (HR=1,35, p=0,016); Längseffekte bei Frauen nicht signifikant. Geschlechtsspezifische Mechanismen offensichtlich.</w:t>
      </w:r>
    </w:p>
    <w:p>
      <w:r>
        <w:rPr>
          <w:b/>
          <w:sz w:val="19"/>
        </w:rPr>
        <w:t xml:space="preserve">Übertragbarkeit: </w:t>
      </w:r>
      <w:r>
        <w:rPr>
          <w:sz w:val="19"/>
        </w:rPr>
        <w:t>China, aber metabolisch-urologische Pathophysiologie universell; Fettverteilung bei Männern stärker prädiktiv.</w:t>
      </w:r>
    </w:p>
    <w:p>
      <w:r>
        <w:rPr>
          <w:color w:val="5A7D3A"/>
          <w:sz w:val="18"/>
        </w:rPr>
        <w:t>https://pubmed.ncbi.nlm.nih.gov/42828682/</w:t>
      </w:r>
    </w:p>
    <w:p>
      <w:pPr>
        <w:pStyle w:val="Heading2"/>
      </w:pPr>
      <w:r>
        <w:t>Nachhaltige Ernährung und Adipositas: Unerwartet höheres Risiko trotz optimierter Diät</w:t>
      </w:r>
    </w:p>
    <w:p>
      <w:r>
        <w:rPr>
          <w:i/>
          <w:color w:val="666666"/>
          <w:sz w:val="18"/>
        </w:rPr>
        <w:t>Bergmann C et al.  ·  Am J Clin Nutr  ·  11.08.2026  ·  PMID 42580635</w:t>
      </w:r>
    </w:p>
    <w:p>
      <w:r>
        <w:t>Longitudinale Kohortenstudie (7 Jahre) bei 1.499 Ghanaern zu Zusammenhang zwischen optimierter nachhaltiger Ernährung (niedrige Emissionen, Kosten) und Adipositasinzidenz.</w:t>
      </w:r>
    </w:p>
    <w:p>
      <w:r>
        <w:rPr>
          <w:b/>
        </w:rPr>
        <w:t xml:space="preserve">Ergebnis: </w:t>
      </w:r>
      <w:r>
        <w:t>Höhere Adhärenz zur optimierten Ernährung war mit 19 % erhöhtem Risiko für abdominale Adipositas assoziiert (95%-KI: 1,00–1,42; p=0,049), signifikant in ländlichen und städtischen Gebieten. Gesamtadherenz war niedrig, was unerwartet inverse Befunde erklären könnte.</w:t>
      </w:r>
    </w:p>
    <w:p>
      <w:r>
        <w:rPr>
          <w:b/>
          <w:sz w:val="19"/>
        </w:rPr>
        <w:t xml:space="preserve">Übertragbarkeit: </w:t>
      </w:r>
      <w:r>
        <w:rPr>
          <w:sz w:val="19"/>
        </w:rPr>
        <w:t>Ghana, vergleichbar strukturiertes Gesundheitswesen; begrenzte Übertragbarkeit des Effekts auf Deutschland ohne lokale Validierung.</w:t>
      </w:r>
    </w:p>
    <w:p>
      <w:r>
        <w:rPr>
          <w:color w:val="5A7D3A"/>
          <w:sz w:val="18"/>
        </w:rPr>
        <w:t>https://pubmed.ncbi.nlm.nih.gov/42580635/</w:t>
      </w:r>
    </w:p>
    <w:p>
      <w:pPr>
        <w:pStyle w:val="Heading1"/>
      </w:pPr>
      <w:r>
        <w:t>Aufgenommen am 06.10.2026</w:t>
      </w:r>
    </w:p>
    <w:p>
      <w:pPr>
        <w:pStyle w:val="Heading2"/>
      </w:pPr>
      <w:r>
        <w:t>Fettfreie Körpermasse nach Adipositaschirurgie variiert nach Geschlecht und Menopausenstatus, Fitness verbessert sich dennoch</w:t>
      </w:r>
    </w:p>
    <w:p>
      <w:r>
        <w:rPr>
          <w:i/>
          <w:color w:val="666666"/>
          <w:sz w:val="18"/>
        </w:rPr>
        <w:t>van der Meer R et al.  ·  Am J Clin Nutr  ·  04.09.2026  ·  PMID 42833817</w:t>
      </w:r>
    </w:p>
    <w:p>
      <w:r>
        <w:t>Longitudinale Kohortenstudie (SOPHIA) mit 1.022 Personen nach Adipositaschirurgie (221 Männer, 614 prämenopausale Frauen, 187 postmenopausale Frauen): Muster der fettfreien Körpermasse und kardiorespiratorische Fitness über ≥18 Monate bis 72 Monate nach Operation.</w:t>
      </w:r>
    </w:p>
    <w:p>
      <w:r>
        <w:rPr>
          <w:b/>
        </w:rPr>
        <w:t xml:space="preserve">Ergebnis: </w:t>
      </w:r>
      <w:r>
        <w:t>Bei 24 Monaten: prämenopausale Frauen verloren niedrigsten Anteil an fettfreier Körpermasse relativ zu Gewichtsverlust (24,7% vs. 27,1% Männer und 28,7% postmenopausale Frauen). Trotz substantiellem Verlust an fettfreier Körpermasse verbesserte sich maximale Sauerstoffaufnahme signifikant in allen Gruppen. Postoperative Veränderungen der fettfreien Körpermasse waren nicht unabhängig mit kardiorespiratorischer Fitness assoziiert.</w:t>
      </w:r>
    </w:p>
    <w:p>
      <w:r>
        <w:rPr>
          <w:b/>
          <w:sz w:val="19"/>
        </w:rPr>
        <w:t xml:space="preserve">Übertragbarkeit: </w:t>
      </w:r>
      <w:r>
        <w:rPr>
          <w:sz w:val="19"/>
        </w:rPr>
        <w:t>Niederlande, spezialisierte Adipositaschirurgie-Kohorte, vergleichbar mit deutschem System</w:t>
      </w:r>
    </w:p>
    <w:p>
      <w:r>
        <w:rPr>
          <w:color w:val="5A7D3A"/>
          <w:sz w:val="18"/>
        </w:rPr>
        <w:t>https://pubmed.ncbi.nlm.nih.gov/42833817/</w:t>
      </w:r>
    </w:p>
    <w:p>
      <w:pPr>
        <w:pStyle w:val="Heading2"/>
      </w:pPr>
      <w:r>
        <w:t>Kaiserschnitt moderat mit Übergewicht bei 6-jährigen Kindern assoziiert, Geschlecht mediiert Effekt</w:t>
      </w:r>
    </w:p>
    <w:p>
      <w:r>
        <w:rPr>
          <w:i/>
          <w:color w:val="666666"/>
          <w:sz w:val="18"/>
        </w:rPr>
        <w:t>Terashita S et al.  ·  Eur J Pediatr  ·  05.10.2026  ·  PMID 42832097</w:t>
      </w:r>
    </w:p>
    <w:p>
      <w:r>
        <w:t>Prospektive Kohortenstudie Japan Environment and Children's Study mit 64.281 Mutter-Kind-Paaren: Zusammenhang zwischen Kaiserschnitt-Entbindung und Übergewicht im Alter 6 Jahren nach internationalen Klassifikationskriterien.</w:t>
      </w:r>
    </w:p>
    <w:p>
      <w:r>
        <w:rPr>
          <w:b/>
        </w:rPr>
        <w:t xml:space="preserve">Ergebnis: </w:t>
      </w:r>
      <w:r>
        <w:t>Übergewicht bei 6 Jahren häufiger nach Kaiserschnitt als vaginal (10,7% vs. 8,8%). Nach Anpassung: adjustierte OR 1,09 (95%-KI 1,02–1,16). Geschlechtsspezifische Analysen zeigten: Kaiserschnitt mit neu entwickeltem Übergewicht zwischen 3–6 Jahren bei Mädchen, nicht bei Jungen assoziiert. Kaiserschnitt nicht signifikant mit früherer adiposity rebound assoziiert.</w:t>
      </w:r>
    </w:p>
    <w:p>
      <w:r>
        <w:rPr>
          <w:b/>
          <w:sz w:val="19"/>
        </w:rPr>
        <w:t xml:space="preserve">Übertragbarkeit: </w:t>
      </w:r>
      <w:r>
        <w:rPr>
          <w:sz w:val="19"/>
        </w:rPr>
        <w:t>Japan, große nationale Geburtskohorte; Übertragbarkeit auf Deutschland begrenzt durch unterschiedliche Kaiserschnittquoten und ethnische Zusammensetzung</w:t>
      </w:r>
    </w:p>
    <w:p>
      <w:r>
        <w:rPr>
          <w:color w:val="5A7D3A"/>
          <w:sz w:val="18"/>
        </w:rPr>
        <w:t>https://pubmed.ncbi.nlm.nih.gov/42832097/</w:t>
      </w:r>
    </w:p>
    <w:p>
      <w:pPr>
        <w:pStyle w:val="Heading2"/>
      </w:pPr>
      <w:r>
        <w:t>Telefonische Pflege-Beratung zeigte kurzzeitige Verbesserung der Körperzusammensetzung, nicht aber dauerhafte Effekte</w:t>
      </w:r>
    </w:p>
    <w:p>
      <w:r>
        <w:rPr>
          <w:i/>
          <w:color w:val="666666"/>
          <w:sz w:val="18"/>
        </w:rPr>
        <w:t>Garcia-Coll N et al.  ·  Front Endocrinol (Lausanne)  ·  17.09.2026  ·  PMID 42824031</w:t>
      </w:r>
    </w:p>
    <w:p>
      <w:r>
        <w:t>Sekundäranalyse der randomisierten PREDIPHONE-Studie mit 174 Erwachsenen (Durchschnittsalter 61 Jahre, 52% Frauen) mit Prädiabetes und Übergewicht/Adipositas: Vergleich einer telefonischen Pflege-Lebensstiländerung vs. SMS-Kontrolle über 15 Monate mit Körperzusammensetzungsmessungen.</w:t>
      </w:r>
    </w:p>
    <w:p>
      <w:r>
        <w:rPr>
          <w:b/>
        </w:rPr>
        <w:t xml:space="preserve">Ergebnis: </w:t>
      </w:r>
      <w:r>
        <w:t>Nach 4 Monaten: Reduktion von viszeralem Fett und Fettmasse in der Interventionsgruppe vs. Kontrolle. Diese Verbesserungen hielten nicht bei 9 oder 15 Monaten an. Keine signifikanten Unterschiede in Muskelaufbau oder BMI. Intensivere oder längerfristige Strategien könnten erforderlich sein für nachhaltige Effekte.</w:t>
      </w:r>
    </w:p>
    <w:p>
      <w:r>
        <w:rPr>
          <w:b/>
          <w:sz w:val="19"/>
        </w:rPr>
        <w:t xml:space="preserve">Übertragbarkeit: </w:t>
      </w:r>
      <w:r>
        <w:rPr>
          <w:sz w:val="19"/>
        </w:rPr>
        <w:t>Spanien, primärärztliche Telemedizin-Intervention, vergleichbar mit deutschem Versorgungskontext</w:t>
      </w:r>
    </w:p>
    <w:p>
      <w:r>
        <w:rPr>
          <w:color w:val="5A7D3A"/>
          <w:sz w:val="18"/>
        </w:rPr>
        <w:t>https://pubmed.ncbi.nlm.nih.gov/42824031/</w:t>
      </w:r>
    </w:p>
    <w:p>
      <w:pPr>
        <w:pStyle w:val="Heading2"/>
      </w:pPr>
      <w:r>
        <w:t>GLP-1-Rezeptoragonisten: nephroprotektive Effekte bei chronischer Nierenkrankheit und Diabetes</w:t>
      </w:r>
    </w:p>
    <w:p>
      <w:r>
        <w:rPr>
          <w:i/>
          <w:color w:val="666666"/>
          <w:sz w:val="18"/>
        </w:rPr>
        <w:t>Boeckhaus J et al.  ·  Clin Sci (Lond)  ·  14.10.2026  ·  PMID 42820470</w:t>
      </w:r>
    </w:p>
    <w:p>
      <w:r>
        <w:t>Narrative Übersichtsarbeit zur Evidenz von GLP-1-Rezeptoragonisten in der Nierenprotektion: Mechanismen und klinische Ergebnisse aus kardiovaskulären Studien und Nierenschutz-Studien bei Typ-2-Diabetes mit chronischer Nierenkrankheit.</w:t>
      </w:r>
    </w:p>
    <w:p>
      <w:r>
        <w:rPr>
          <w:b/>
        </w:rPr>
        <w:t xml:space="preserve">Ergebnis: </w:t>
      </w:r>
      <w:r>
        <w:t>GLP-1-Rezeptoragonisten zeigen Reduktion schwerwiegender kardiovaskulärer Ereignisse, Verlangsamung der Nierenkrankheitsprogression (gemessen an eGFR-Rückgang) und Albuminurie-Reduktion. Mechanismen beinhalten anti-inflammatorische, anti-fibrotische und antioxidative Effekte. Autoren betonen Sicherheitsprofile und mögliche Risiken.</w:t>
      </w:r>
    </w:p>
    <w:p>
      <w:r>
        <w:rPr>
          <w:b/>
          <w:sz w:val="19"/>
        </w:rPr>
        <w:t xml:space="preserve">Übertragbarkeit: </w:t>
      </w:r>
      <w:r>
        <w:rPr>
          <w:sz w:val="19"/>
        </w:rPr>
        <w:t>UK, Übersicht internationaler Studienevidenz; Kostenübernahme in Deutschland eingeschränkt (§34 SGB V)</w:t>
      </w:r>
    </w:p>
    <w:p>
      <w:r>
        <w:rPr>
          <w:color w:val="5A7D3A"/>
          <w:sz w:val="18"/>
        </w:rPr>
        <w:t>https://pubmed.ncbi.nlm.nih.gov/42820470/</w:t>
      </w:r>
    </w:p>
    <w:p>
      <w:pPr>
        <w:pStyle w:val="Heading2"/>
      </w:pPr>
      <w:r>
        <w:t>Vertraute Ärzte verbessern Erfolg von Video-Lebensstiländerungen bei Adipositas</w:t>
      </w:r>
    </w:p>
    <w:p>
      <w:r>
        <w:rPr>
          <w:i/>
          <w:color w:val="666666"/>
          <w:sz w:val="18"/>
        </w:rPr>
        <w:t>Taverner-Aparicio A et al.  ·  Patient Educ Couns  ·  07.09.2026  ·  PMID 42727166</w:t>
      </w:r>
    </w:p>
    <w:p>
      <w:r>
        <w:t>Randomisierte Studie an 115 Erwachsenen mit Übergewicht oder Adipositas Grad I in Valencia: Vergleich videogestützter Lebensstiländerung von bekannten vs. unbekannten Primärärzten.</w:t>
      </w:r>
    </w:p>
    <w:p>
      <w:r>
        <w:rPr>
          <w:b/>
        </w:rPr>
        <w:t xml:space="preserve">Ergebnis: </w:t>
      </w:r>
      <w:r>
        <w:t>Patienten der bekannten Ärzte erreichten -0,5 kg/m² BMI mehr (95%-KI -0,9 bis -0,1; p=0,013) und reduzierten wöchentliche Sitzzeit um 39 Minuten (95%-KI -77 bis -0,2; p=0,049). Per-Protocol-Analyse zeigte -0,9 kg/m² (95%-KI -1,6 bis -0,2; p=0,009). Kontinuität in der ärztlichen Beziehung trägt zur Wirksamkeit digitaler Lebensstiländerungen bei.</w:t>
      </w:r>
    </w:p>
    <w:p>
      <w:r>
        <w:rPr>
          <w:b/>
          <w:sz w:val="19"/>
        </w:rPr>
        <w:t xml:space="preserve">Übertragbarkeit: </w:t>
      </w:r>
      <w:r>
        <w:rPr>
          <w:sz w:val="19"/>
        </w:rPr>
        <w:t>Spanien, primärärztliche Versorgung, vergleichbar mit deutschem Gesundheitssystem</w:t>
      </w:r>
    </w:p>
    <w:p>
      <w:r>
        <w:rPr>
          <w:color w:val="5A7D3A"/>
          <w:sz w:val="18"/>
        </w:rPr>
        <w:t>https://pubmed.ncbi.nlm.nih.gov/42727166/</w:t>
      </w:r>
    </w:p>
    <w:p>
      <w:pPr>
        <w:pStyle w:val="Heading2"/>
      </w:pPr>
      <w:r>
        <w:t>Proteinquellen in der Schwangerschaft beeinflussen Gewichtsverlauf von Mutter und Kind</w:t>
      </w:r>
    </w:p>
    <w:p>
      <w:r>
        <w:rPr>
          <w:i/>
          <w:color w:val="666666"/>
          <w:sz w:val="18"/>
        </w:rPr>
        <w:t>Zhang H et al.  ·  Am J Clin Nutr  ·  11.09.2026  ·  PMID 42665051</w:t>
      </w:r>
    </w:p>
    <w:p>
      <w:r>
        <w:t>Prospektive Kohortenstudie mit 59.791 dänischen Müttern: Zusammenhang zwischen Proteinquellen in Woche 25 der Gravidität und Gewichtsretention &gt;5 kg postpartal sowie Übergewicht/Adipositas der Kinder im Alter 7–11 Jahren.</w:t>
      </w:r>
    </w:p>
    <w:p>
      <w:r>
        <w:rPr>
          <w:b/>
        </w:rPr>
        <w:t xml:space="preserve">Ergebnis: </w:t>
      </w:r>
      <w:r>
        <w:t>Höhere pflanzliche Proteinzufuhr senkte Risiko mütterlicher Gewichtsretention &gt;5 kg (Q5 vs. Q1: RR 0,86; 95%-KI 0,81–0,91). Höhere Rotfleischproteinzufuhr erhöhte Risiko (RR 1,11; 95%-KI 1,05–1,17). Bei Kindern: höhere tierische Proteine (RR 1,12; 95%-KI 1,05–1,19) und Rotfleisch (RR 1,06; 95%-KI 1,00–1,13) mit höherem Adipositasrisiko. Ersatz von 1% Rotfleisch- oder Milchprotein durch Geflügel/Fisch reduzierte mütterliches Risiko um 4–6%.</w:t>
      </w:r>
    </w:p>
    <w:p>
      <w:r>
        <w:rPr>
          <w:b/>
          <w:sz w:val="19"/>
        </w:rPr>
        <w:t xml:space="preserve">Übertragbarkeit: </w:t>
      </w:r>
      <w:r>
        <w:rPr>
          <w:sz w:val="19"/>
        </w:rPr>
        <w:t>Dänemark, Geburtskohortenstudie, direkt auf deutschsprachige Prävention übertragbar</w:t>
      </w:r>
    </w:p>
    <w:p>
      <w:r>
        <w:rPr>
          <w:color w:val="5A7D3A"/>
          <w:sz w:val="18"/>
        </w:rPr>
        <w:t>https://pubmed.ncbi.nlm.nih.gov/42665051/</w:t>
      </w:r>
    </w:p>
    <w:p>
      <w:pPr>
        <w:pStyle w:val="Heading1"/>
      </w:pPr>
      <w:r>
        <w:t>Aufgenommen am 05.10.2026</w:t>
      </w:r>
    </w:p>
    <w:p>
      <w:pPr>
        <w:pStyle w:val="Heading2"/>
      </w:pPr>
      <w:r>
        <w:t>BMI-Anforderungen für Organtransplantation in USA: Drei Staaten mit Ausschlusskriterium, 32 unklar</w:t>
      </w:r>
    </w:p>
    <w:p>
      <w:r>
        <w:rPr>
          <w:i/>
          <w:color w:val="666666"/>
          <w:sz w:val="18"/>
        </w:rPr>
        <w:t>Klitenic SB et al.  ·  Clin Transplant  ·  Okt. 2026  ·  PMID 42829945</w:t>
      </w:r>
    </w:p>
    <w:p>
      <w:r>
        <w:t>Ein Review aller 50 US-Bundesstaaten identifizierte, ob Medicaid explizite BMI-Grenzen für die Kostenübernahme von Herz-, Lungen-, Leber-, Nieren-, Pankreas- oder Dünndarmtransplantationen haben.</w:t>
      </w:r>
    </w:p>
    <w:p>
      <w:r>
        <w:rPr>
          <w:b/>
        </w:rPr>
        <w:t xml:space="preserve">Ergebnis: </w:t>
      </w:r>
      <w:r>
        <w:t>Nur drei Staaten (Hawaii, Iowa, North Carolina) hatten restriktive BMI-Vorgaben – allein für Herz, Lunge und kombinierte Transplantationen. 32 Staaten und DC hatten teils restriktive Richtlinien; 15 hatten keine. Kriterien stammten meist von Managed-Care-Organisationen, nicht von staatlicher Regulierung. Keine Beschränkung für Nieren-, Leber- oder Pankreas-Transplantation.</w:t>
      </w:r>
    </w:p>
    <w:p>
      <w:r>
        <w:rPr>
          <w:b/>
          <w:sz w:val="19"/>
        </w:rPr>
        <w:t xml:space="preserve">Übertragbarkeit: </w:t>
      </w:r>
      <w:r>
        <w:rPr>
          <w:sz w:val="19"/>
        </w:rPr>
        <w:t>USA, Medicaid-System nicht mit deutschem SGB V vergleichbar; Erstattungsfragen jedoch relevant</w:t>
      </w:r>
    </w:p>
    <w:p>
      <w:r>
        <w:rPr>
          <w:color w:val="5A7D3A"/>
          <w:sz w:val="18"/>
        </w:rPr>
        <w:t>https://pubmed.ncbi.nlm.nih.gov/42829945/</w:t>
      </w:r>
    </w:p>
    <w:p>
      <w:pPr>
        <w:pStyle w:val="Heading2"/>
      </w:pPr>
      <w:r>
        <w:t>GLP-1-Rezeptoragonisten senken 90-Tage-Mortalität nach Sepsis um 19 % gegenüber SGLT2-Inhibitoren</w:t>
      </w:r>
    </w:p>
    <w:p>
      <w:r>
        <w:rPr>
          <w:i/>
          <w:color w:val="666666"/>
          <w:sz w:val="18"/>
        </w:rPr>
        <w:t>Liu HH et al.  ·  Drug Des Devel Ther  ·  29.09.2026  ·  PMID 42829714</w:t>
      </w:r>
    </w:p>
    <w:p>
      <w:r>
        <w:t>Eine retrospektive Kohortenanalyse von 11.969 Patienten pro Gruppe mit Typ-2-Diabetes, die vor Sepsisaufnahme entweder GLP-1-Rezeptoragonisten oder SGLT2-Inhibitoren erhielten, verglich klinische Ergebnisse.</w:t>
      </w:r>
    </w:p>
    <w:p>
      <w:r>
        <w:rPr>
          <w:b/>
        </w:rPr>
        <w:t xml:space="preserve">Ergebnis: </w:t>
      </w:r>
      <w:r>
        <w:t>Unter GLP-1-RA-Exposition betrug die 90-Tage-Mortalität 48,6 pro 100 Personenjahre vs. 60,6 unter SGLT2i (Hazard Ratio 0,81; 95%-KI 0,75–0,88). Auch schwerwiegende kardiovaskuläre Ereignisse waren seltener (HR 0,77). Die Effekte waren bei Subgruppenanalysen konsistent, doch der E-Wert (1,6) und Baselineunterschiede deuten auf residuelle Verwirrung hin.</w:t>
      </w:r>
    </w:p>
    <w:p>
      <w:r>
        <w:rPr>
          <w:b/>
          <w:sz w:val="19"/>
        </w:rPr>
        <w:t xml:space="preserve">Übertragbarkeit: </w:t>
      </w:r>
      <w:r>
        <w:rPr>
          <w:sz w:val="19"/>
        </w:rPr>
        <w:t>USA, TriNetX-Netzwerk; Aussage über Arzneimittelvorteil bei Sepsis ist systemübergreifend relevant, aber Kostenumdefinition in Deutschland andere</w:t>
      </w:r>
    </w:p>
    <w:p>
      <w:r>
        <w:rPr>
          <w:color w:val="5A7D3A"/>
          <w:sz w:val="18"/>
        </w:rPr>
        <w:t>https://pubmed.ncbi.nlm.nih.gov/42829714/</w:t>
      </w:r>
    </w:p>
    <w:p>
      <w:pPr>
        <w:pStyle w:val="Heading2"/>
      </w:pPr>
      <w:r>
        <w:t>Nachtschichten bei Pflegekräften: 6,7-fach höheres Metabolisches-Syndrom-Risiko bei ≥4 Schichten/Monat</w:t>
      </w:r>
    </w:p>
    <w:p>
      <w:r>
        <w:rPr>
          <w:i/>
          <w:color w:val="666666"/>
          <w:sz w:val="18"/>
        </w:rPr>
        <w:t>Yang Y et al.  ·  Front Public Health  ·  18.09.2026  ·  PMID 42827874</w:t>
      </w:r>
    </w:p>
    <w:p>
      <w:r>
        <w:t>Eine Querschnittsstudie von 719 Gesundheitsbeschäftigten in China untersuchte, ob Nachtschichthäufigkeit das Metabolische Syndrom (MetS) über Stress und Schlafqualität vorhersagt.</w:t>
      </w:r>
    </w:p>
    <w:p>
      <w:r>
        <w:rPr>
          <w:b/>
        </w:rPr>
        <w:t xml:space="preserve">Ergebnis: </w:t>
      </w:r>
      <w:r>
        <w:t>Von 719 Fachkräften hatten 124 (17,2 %) MetS. Bei ≥4 Nachtschichten pro Monat war die bereinigte Odds Ratio 6,65 (95%-KI 2,56–17,28) gegenüber 0 Schichten. Die indirekte Assoziation über beruflichen Stress betrug 27,7 % der Gesamtassoziation und war bei schlechterer Schlafqualität stärker. Dies deutet auf einen therapeutischen Ansatzpunkt hin.</w:t>
      </w:r>
    </w:p>
    <w:p>
      <w:r>
        <w:rPr>
          <w:b/>
          <w:sz w:val="19"/>
        </w:rPr>
        <w:t xml:space="preserve">Übertragbarkeit: </w:t>
      </w:r>
      <w:r>
        <w:rPr>
          <w:sz w:val="19"/>
        </w:rPr>
        <w:t>China, aber berufliche Arbeitsbedingungen in der Pflege sind systemübergreifend ähnlich</w:t>
      </w:r>
    </w:p>
    <w:p>
      <w:r>
        <w:rPr>
          <w:color w:val="5A7D3A"/>
          <w:sz w:val="18"/>
        </w:rPr>
        <w:t>https://pubmed.ncbi.nlm.nih.gov/42827874/</w:t>
      </w:r>
    </w:p>
    <w:p>
      <w:pPr>
        <w:pStyle w:val="Heading2"/>
      </w:pPr>
      <w:r>
        <w:t>Polnische Adipositas-Dokumentation: vier ICD-10-Serien ergeben 4,7-fachen Unterschied</w:t>
      </w:r>
    </w:p>
    <w:p>
      <w:r>
        <w:rPr>
          <w:i/>
          <w:color w:val="666666"/>
          <w:sz w:val="18"/>
        </w:rPr>
        <w:t>Poboży M et al.  ·  Front Public Health  ·  18.09.2026  ·  PMID 42827465</w:t>
      </w:r>
    </w:p>
    <w:p>
      <w:r>
        <w:t>Eine Auditierung der polnischen National Health Fund-Daten von 2015–2025 zeigte, dass dieselbe ICD-10-E66-Kodierung je nach analytischer Definition vier völlig unterschiedliche administrative Trajektorien liefert, was Surveillance und Politikentscheidungen erschwert.</w:t>
      </w:r>
    </w:p>
    <w:p>
      <w:r>
        <w:rPr>
          <w:b/>
        </w:rPr>
        <w:t xml:space="preserve">Ergebnis: </w:t>
      </w:r>
      <w:r>
        <w:t>Je nach Messmethode lagen 2025 zwischen 325.769 und 1.534.022 Personen mit Adipositas in den Datenreihen vor; die jährliche prozentuale Veränderung reichte von 10,5 bis 14,5 %. Während 2020 die Morbidität nur um 3,5 % absank, betrug der Rückgang bei Serien mit aktueller Aktivität −39,4 bis −44,3 %. Das zeigt, dass Wachstumsmeldungen nicht zwischen echter klinischer Zunahme und Veränderungen bei Erfassung, Zugang und Dokumentation unterscheiden können.</w:t>
      </w:r>
    </w:p>
    <w:p>
      <w:r>
        <w:rPr>
          <w:b/>
          <w:sz w:val="19"/>
        </w:rPr>
        <w:t xml:space="preserve">Übertragbarkeit: </w:t>
      </w:r>
      <w:r>
        <w:rPr>
          <w:sz w:val="19"/>
        </w:rPr>
        <w:t>Polen, vergleichbares Versicherungssystem, direkt auf deutsche Kodierungsprobleme übertragbar</w:t>
      </w:r>
    </w:p>
    <w:p>
      <w:r>
        <w:rPr>
          <w:color w:val="5A7D3A"/>
          <w:sz w:val="18"/>
        </w:rPr>
        <w:t>https://pubmed.ncbi.nlm.nih.gov/42827465/</w:t>
      </w:r>
    </w:p>
    <w:p>
      <w:pPr>
        <w:pStyle w:val="Heading2"/>
      </w:pPr>
      <w:r>
        <w:t>TyG-Waist-Circumference vorhersagt kardiovaskuläre Ereignisse bei älteren Landbewohnern besser als TyG-Index allein</w:t>
      </w:r>
    </w:p>
    <w:p>
      <w:r>
        <w:rPr>
          <w:i/>
          <w:color w:val="666666"/>
          <w:sz w:val="18"/>
        </w:rPr>
        <w:t>Xue Y et al.  ·  Front Endocrinol (Lausanne)  ·  30.09.2026  ·  PMID 42818901</w:t>
      </w:r>
    </w:p>
    <w:p>
      <w:r>
        <w:t>Eine 6-jährige Kohortenanalyse von 4.169 älteren Landbewohnern (≥65 Jahre) in China verglich die prädiktive Kraft von Basis-, kumulative Exposition und jährliche Änderungen des Triglyzerid-Glukose-Index und seiner Ableitungen für kardiovaskuläre Ereignisse.</w:t>
      </w:r>
    </w:p>
    <w:p>
      <w:r>
        <w:rPr>
          <w:b/>
        </w:rPr>
        <w:t xml:space="preserve">Ergebnis: </w:t>
      </w:r>
      <w:r>
        <w:t>822 kardiovaskuläre Ereignisse ereigneten sich während des Nachbeobachtung. Basis- und kumulative TyG-WC zeigten konsistent starke Assoziationen (p &lt; 0,001), mit kumulativen Maßen etwas stärker. Jährliche Mittelwertänderungen waren schwächer prädiktiv. TyG-WC zeigte über alle Nachbeobachtungszeiträume optimale prädiktive Performance; die Basis-Messung war so wertvoll wie die kumulative.</w:t>
      </w:r>
    </w:p>
    <w:p>
      <w:r>
        <w:rPr>
          <w:b/>
          <w:sz w:val="19"/>
        </w:rPr>
        <w:t xml:space="preserve">Übertragbarkeit: </w:t>
      </w:r>
      <w:r>
        <w:rPr>
          <w:sz w:val="19"/>
        </w:rPr>
        <w:t>China, aber Screening-Methodik in ländlichen Primärversorgungssettings systemübergreifend anwendbar</w:t>
      </w:r>
    </w:p>
    <w:p>
      <w:r>
        <w:rPr>
          <w:color w:val="5A7D3A"/>
          <w:sz w:val="18"/>
        </w:rPr>
        <w:t>https://pubmed.ncbi.nlm.nih.gov/42818901/</w:t>
      </w:r>
    </w:p>
    <w:p>
      <w:pPr>
        <w:pStyle w:val="Heading2"/>
      </w:pPr>
      <w:r>
        <w:t>Höheres BMI verschlechtert Lymphknotentransfer-Ergebnis um 30–50 % bei Lymphödem</w:t>
      </w:r>
    </w:p>
    <w:p>
      <w:r>
        <w:rPr>
          <w:i/>
          <w:color w:val="666666"/>
          <w:sz w:val="18"/>
        </w:rPr>
        <w:t>Kappos EA et al.  ·  J Plast Reconstr Aesthet Surg  ·  02.08.2026  ·  PMID 42594515</w:t>
      </w:r>
    </w:p>
    <w:p>
      <w:r>
        <w:t>Eine prospektive multizentrische Kohortenstudie (2016–2025) aus der Schweiz und Deutschland prüfte, ob Geschlecht, Alter und BMI die Langzeitergebnisse von Lymphgefäßanastomose oder vaskulärisiertem Lymphknotentransfer beeinflussen.</w:t>
      </w:r>
    </w:p>
    <w:p>
      <w:r>
        <w:rPr>
          <w:b/>
        </w:rPr>
        <w:t xml:space="preserve">Ergebnis: </w:t>
      </w:r>
      <w:r>
        <w:t>Bei Lymphödem der oberen Extremität war höheres BMI mit ungünstigerer Therapieantwort assoziiert (relatives Übergewichtsreduktionsmaß nach 12 und 18 Monaten signifikant erniedrigt). Männer mit Unterschenkelödem zeigten bessere Ansprechraten. Komplikationsraten unterschieden sich nicht. Präoperativer Gewichtsverlust könnte die Ergebnisse verbessern.</w:t>
      </w:r>
    </w:p>
    <w:p>
      <w:r>
        <w:rPr>
          <w:b/>
          <w:sz w:val="19"/>
        </w:rPr>
        <w:t xml:space="preserve">Übertragbarkeit: </w:t>
      </w:r>
      <w:r>
        <w:rPr>
          <w:sz w:val="19"/>
        </w:rPr>
        <w:t>Schweiz und Deutschland, direkt übertragbar auf deutsches Gesundheitssystem</w:t>
      </w:r>
    </w:p>
    <w:p>
      <w:r>
        <w:rPr>
          <w:color w:val="5A7D3A"/>
          <w:sz w:val="18"/>
        </w:rPr>
        <w:t>https://pubmed.ncbi.nlm.nih.gov/42594515/</w:t>
      </w:r>
    </w:p>
    <w:p>
      <w:pPr>
        <w:pStyle w:val="Heading1"/>
      </w:pPr>
      <w:r>
        <w:t>Aufgenommen am 04.10.2026</w:t>
      </w:r>
    </w:p>
    <w:p>
      <w:pPr>
        <w:pStyle w:val="Heading2"/>
      </w:pPr>
      <w:r>
        <w:t>Familienbasierte Intervention: 5,3% der Eltern-Kind-Paare erreichten klinisch bedeutsame Gewichtsziele</w:t>
      </w:r>
    </w:p>
    <w:p>
      <w:r>
        <w:rPr>
          <w:i/>
          <w:color w:val="666666"/>
          <w:sz w:val="18"/>
        </w:rPr>
        <w:t>Vitoratou DI et al.  ·  Pediatr Obes  ·  Okt. 2026  ·  PMID 42827214</w:t>
      </w:r>
    </w:p>
    <w:p>
      <w:r>
        <w:t>Europäische Schulen und Gemeinden: 2402 Familien mit Übergewicht/Adipositas oder Typ-2-Diabetes-Risiko wurden in Feel4Diabetes randomisiert und 2 Jahre nachbeobachtet. Erfolg war definiert als ≥5% Gewichtsverlust bei Eltern und ≥0,15-Punkte-Reduktion des BMI-z bei Kindern.</w:t>
      </w:r>
    </w:p>
    <w:p>
      <w:r>
        <w:rPr>
          <w:b/>
        </w:rPr>
        <w:t xml:space="preserve">Ergebnis: </w:t>
      </w:r>
      <w:r>
        <w:t>Nach 2 Jahren erreichten nur 5,3% beider Familienmitglieder die Zielkriterien. Interventionsgruppeneilnahme (OR 2,56) und Wohnen in wohlhabenderen Ländern unter Sparmaßnahmen (OR 2,44) waren signifikante Erfolgsprädiktor. Mädchen verbesserten sich häufiger als Jungen, vollzeitberufstätige Mütter zeigten niedrigere Erfolgsquoten. Die geringe Quote unterstreicht Limitationen familienbasierter Präventionsprogramme in der Routinepraxis.</w:t>
      </w:r>
    </w:p>
    <w:p>
      <w:r>
        <w:rPr>
          <w:b/>
          <w:sz w:val="19"/>
        </w:rPr>
        <w:t xml:space="preserve">Übertragbarkeit: </w:t>
      </w:r>
      <w:r>
        <w:rPr>
          <w:sz w:val="19"/>
        </w:rPr>
        <w:t>Sechs europäische Länder, vergleichbare Schulstrukturen und Gesundheitssysteme</w:t>
      </w:r>
    </w:p>
    <w:p>
      <w:r>
        <w:rPr>
          <w:color w:val="5A7D3A"/>
          <w:sz w:val="18"/>
        </w:rPr>
        <w:t>https://pubmed.ncbi.nlm.nih.gov/42827214/</w:t>
      </w:r>
    </w:p>
    <w:p>
      <w:pPr>
        <w:pStyle w:val="Heading2"/>
      </w:pPr>
      <w:r>
        <w:t>COPD und Adipositas: Mortalität stieg von 0,78 auf 2,63 pro 100.000 (1999–2023)</w:t>
      </w:r>
    </w:p>
    <w:p>
      <w:r>
        <w:rPr>
          <w:i/>
          <w:color w:val="666666"/>
          <w:sz w:val="18"/>
        </w:rPr>
        <w:t>Khan AA et al.  ·  Medicine (Baltimore)  ·  02.10.2026  ·  PMID 42826321</w:t>
      </w:r>
    </w:p>
    <w:p>
      <w:r>
        <w:t>USA-Mortalitätstrends: 130.958 Todesfälle mit COPD und Adipositas gleichzeitig dokumentiert 1999–2023 aus CDC-Daten mit Alter-Adjustierung auf US-Bevölkerung 2000.</w:t>
      </w:r>
    </w:p>
    <w:p>
      <w:r>
        <w:rPr>
          <w:b/>
        </w:rPr>
        <w:t xml:space="preserve">Ergebnis: </w:t>
      </w:r>
      <w:r>
        <w:t>Altersstandardisierte Mortalitätsrate stieg von 0,78 (95%-KI 0,74–0,82) 1999 auf 2,63 (95%-KI 2,57–2,68) 2023 (durchschnittliche jährliche Veränderung +5,14%, 95%-KI 4,09–6,21). Nach 2013 flach, 2018–2021 sprunghaft +17,45%, 2021–2023 fallend −13,45%. Männer und Erwachsene ≥65 Jahre stärker betroffen mit regionalen und ethnischen Unterschieden. Verbindung unklar, Rauchen und Schweregrad nicht erfasst.</w:t>
      </w:r>
    </w:p>
    <w:p>
      <w:r>
        <w:rPr>
          <w:b/>
          <w:sz w:val="19"/>
        </w:rPr>
        <w:t xml:space="preserve">Übertragbarkeit: </w:t>
      </w:r>
      <w:r>
        <w:rPr>
          <w:sz w:val="19"/>
        </w:rPr>
        <w:t>USA mit privater Finanzierung, grundlegend andere Gesundheitssystemstruktur</w:t>
      </w:r>
    </w:p>
    <w:p>
      <w:r>
        <w:rPr>
          <w:color w:val="5A7D3A"/>
          <w:sz w:val="18"/>
        </w:rPr>
        <w:t>https://pubmed.ncbi.nlm.nih.gov/42826321/</w:t>
      </w:r>
    </w:p>
    <w:p>
      <w:pPr>
        <w:pStyle w:val="Heading2"/>
      </w:pPr>
      <w:r>
        <w:t>Metabolisches Syndrom betraf 10–19% junger Arbeitnehmer, Definitionen differierten stark</w:t>
      </w:r>
    </w:p>
    <w:p>
      <w:r>
        <w:rPr>
          <w:i/>
          <w:color w:val="666666"/>
          <w:sz w:val="18"/>
        </w:rPr>
        <w:t>Ma L et al.  ·  Medicine (Baltimore)  ·  02.10.2026  ·  PMID 42826298</w:t>
      </w:r>
    </w:p>
    <w:p>
      <w:r>
        <w:t>Chinesische Querschnittsstudie: 420 Arbeitnehmer im Gesundheitswesen (Alter 20–45 Jahre) mit annuellen Routineuntersuchungen 2022–2024 nach drei Kriterien-Sets (IDF, NCEP ATP III, CDS) klassifiziert.</w:t>
      </w:r>
    </w:p>
    <w:p>
      <w:r>
        <w:rPr>
          <w:b/>
        </w:rPr>
        <w:t xml:space="preserve">Ergebnis: </w:t>
      </w:r>
      <w:r>
        <w:t>Prävalenzen variierten: IDF 15,5%, NCEP ATP III 18,6%, CDS 10,2%. Männer überrepräsentiert. Übereinstimmung fast vollkommen (IDF-NCEP: κ=0,82), substanziell zu CDS (κ=0,61–0,64). Alle Syndrome stark mit 10-Jahres-Herzinfarkt-Risiko (China-PAR) assoziiert: aOR 5,1–7,1. Die unterschiedlichen Prävalenzen je Definition erschweren internationale Vergleichbarkeit.</w:t>
      </w:r>
    </w:p>
    <w:p>
      <w:r>
        <w:rPr>
          <w:b/>
          <w:sz w:val="19"/>
        </w:rPr>
        <w:t xml:space="preserve">Übertragbarkeit: </w:t>
      </w:r>
      <w:r>
        <w:rPr>
          <w:sz w:val="19"/>
        </w:rPr>
        <w:t>China, begrenzt übertragbar auf deutsche Strukturen und Meßmethoden</w:t>
      </w:r>
    </w:p>
    <w:p>
      <w:r>
        <w:rPr>
          <w:color w:val="5A7D3A"/>
          <w:sz w:val="18"/>
        </w:rPr>
        <w:t>https://pubmed.ncbi.nlm.nih.gov/42826298/</w:t>
      </w:r>
    </w:p>
    <w:p>
      <w:pPr>
        <w:pStyle w:val="Heading2"/>
      </w:pPr>
      <w:r>
        <w:t>Semaglutid-Gewichtsverlust stark variabel: Frauen −6% vs. Männer, Typ-2-Diabetes mindert Effekt</w:t>
      </w:r>
    </w:p>
    <w:p>
      <w:r>
        <w:rPr>
          <w:i/>
          <w:color w:val="666666"/>
          <w:sz w:val="18"/>
        </w:rPr>
        <w:t>Tzoulis P  ·  Front Endocrinol (Lausanne)  ·  17.09.2026  ·  PMID 42824923</w:t>
      </w:r>
    </w:p>
    <w:p>
      <w:r>
        <w:t>Narratives Mini-Review: Zusammenfassung von Semaglutid-Wirksamkeitsstudien zur Gewichtsabnahme mit Fokus auf prädiktive Faktoren für individuelle Therapie-Ansprechquoten.</w:t>
      </w:r>
    </w:p>
    <w:p>
      <w:r>
        <w:rPr>
          <w:b/>
        </w:rPr>
        <w:t xml:space="preserve">Ergebnis: </w:t>
      </w:r>
      <w:r>
        <w:t>Hauptprädiktor: Typ-2-Diabetes assoziiert mit signifikant geringerem Gewichtsverlust. Geschlecht: Frauen zeigten durchschnittlich 6% größeren Gewichtsverlust als Männer. Höhere Dosis 7,2 mg überlegen 2,4 mg (Differenz 3%). Alter und Basis-BMI zeigte keine klare Assoziation außer möglicherweise in Jugend (verstärkt) und Übergewicht (vermindert). Genetische Varianten in GLP1-Rezeptor-Gen zeigte bescheidene Effekte. Phänotyp ('hungriger Darm') und Lebensstil-Modifikation unklar. Weitere Validation nötig.</w:t>
      </w:r>
    </w:p>
    <w:p>
      <w:r>
        <w:rPr>
          <w:b/>
          <w:sz w:val="19"/>
        </w:rPr>
        <w:t xml:space="preserve">Übertragbarkeit: </w:t>
      </w:r>
      <w:r>
        <w:rPr>
          <w:sz w:val="19"/>
        </w:rPr>
        <w:t>UK-Behandlungen, aber Kostenerstatung und Verfügbarkeit in Deutschland § 34 SGB V unvereinbar</w:t>
      </w:r>
    </w:p>
    <w:p>
      <w:r>
        <w:rPr>
          <w:color w:val="5A7D3A"/>
          <w:sz w:val="18"/>
        </w:rPr>
        <w:t>https://pubmed.ncbi.nlm.nih.gov/42824923/</w:t>
      </w:r>
    </w:p>
    <w:p>
      <w:pPr>
        <w:pStyle w:val="Heading2"/>
      </w:pPr>
      <w:r>
        <w:t>Kaumuskulatur größer bei höherem BMI und Bauchumfang, unterschiedlich nach Geschlecht</w:t>
      </w:r>
    </w:p>
    <w:p>
      <w:r>
        <w:rPr>
          <w:i/>
          <w:color w:val="666666"/>
          <w:sz w:val="18"/>
        </w:rPr>
        <w:t>Meisel P et al.  ·  J Oral Biosci  ·  16.09.2026  ·  PMID 42748522</w:t>
      </w:r>
    </w:p>
    <w:p>
      <w:r>
        <w:t>Deutsch-baltische Bevölkerungskohort SHIP-2 (n=665, Alter 30–93 Jahre): MRT-Querschnittsflächen der Kau- (Masseter, Pterygoideus-Muskeln) und anthropometrische Daten an Baseline und 10-Jahres-Follow-up gemessen.</w:t>
      </w:r>
    </w:p>
    <w:p>
      <w:r>
        <w:rPr>
          <w:b/>
        </w:rPr>
        <w:t xml:space="preserve">Ergebnis: </w:t>
      </w:r>
      <w:r>
        <w:t>Kaumuskelquerschnitte positiv assoziiert mit BMI und Bauchumfang. Bei Männern primär Musculus medialis pterygoideus mit Adipositas-Indikatoren assoziiert (p&lt;0,001). Masseter-Fläche in beiden Geschlechtern mit BMI und Bauchumfang verbunden, Bauchumfang attenuierte BMI-Assoziation. Zahnzahl positiv mit Muskelquerschnitten korreliert (p&lt;0,001), klinischer Attachement-Verlust nur bei Frauen negativ mit Adipositas verknüpft. 10-Jahres-BMI- und Bauchumfang-Zunahmen assoziiert mit Masseter und medialem Pterygoideus bei Männern (p&lt;0,001), nicht bei Frauen (p&gt;0,30).</w:t>
      </w:r>
    </w:p>
    <w:p>
      <w:r>
        <w:rPr>
          <w:b/>
          <w:sz w:val="19"/>
        </w:rPr>
        <w:t xml:space="preserve">Übertragbarkeit: </w:t>
      </w:r>
      <w:r>
        <w:rPr>
          <w:sz w:val="19"/>
        </w:rPr>
        <w:t>Deutsche Klinikdaten aus prospektiver Kohort, vergleichbare Bildgebungsprotokolle</w:t>
      </w:r>
    </w:p>
    <w:p>
      <w:r>
        <w:rPr>
          <w:color w:val="5A7D3A"/>
          <w:sz w:val="18"/>
        </w:rPr>
        <w:t>https://pubmed.ncbi.nlm.nih.gov/42748522/</w:t>
      </w:r>
    </w:p>
    <w:p>
      <w:pPr>
        <w:pStyle w:val="Heading1"/>
      </w:pPr>
      <w:r>
        <w:t>Aufgenommen am 03.10.2026</w:t>
      </w:r>
    </w:p>
    <w:p>
      <w:pPr>
        <w:pStyle w:val="Heading2"/>
      </w:pPr>
      <w:r>
        <w:t>Sarkopenische Adipositas assoziiert mit kognitiven Defiziten im höheren Alter</w:t>
      </w:r>
    </w:p>
    <w:p>
      <w:r>
        <w:rPr>
          <w:i/>
          <w:color w:val="666666"/>
          <w:sz w:val="18"/>
        </w:rPr>
        <w:t>Wang MC et al.  ·  J Cachexia Sarcopenia Muscle  ·  Okt. 2026  ·  PMID 42825653</w:t>
      </w:r>
    </w:p>
    <w:p>
      <w:r>
        <w:t>Prospektive taiwanesische Kohortenstudie (2015–2019) an 366 nicht-dementen Älteren (≥69 Jahre) zu sarkopenischer und dynamopener Adipositas und globaler sowie domänenspezifischer Kognition.</w:t>
      </w:r>
    </w:p>
    <w:p>
      <w:r>
        <w:rPr>
          <w:b/>
        </w:rPr>
        <w:t xml:space="preserve">Ergebnis: </w:t>
      </w:r>
      <w:r>
        <w:t>Sarkopenische Adipositas war assoziiert mit schlechterer globaler Kognition (MoCA-T: β̂=−0,96, 95%-KI −1,80 bis −0,13), Gedächtnis (β̂=−0,38, 95%-KI −0,72 bis −0,04) und Aufmerksamkeit (Trail A: β̂=−0,43, 95%-KI −0,73 bis −0,12). Dynamopene Adipositas zeigte ähnliche Assoziationen. Effekte blieben bei Frauen und APOE-ε4-Nichtträgern bestehen.</w:t>
      </w:r>
    </w:p>
    <w:p>
      <w:r>
        <w:rPr>
          <w:b/>
          <w:sz w:val="19"/>
        </w:rPr>
        <w:t xml:space="preserve">Übertragbarkeit: </w:t>
      </w:r>
      <w:r>
        <w:rPr>
          <w:sz w:val="19"/>
        </w:rPr>
        <w:t>Taiwan, prospektiv, Mechanismus könnten auf Deutschland übertragbar sein</w:t>
      </w:r>
    </w:p>
    <w:p>
      <w:r>
        <w:rPr>
          <w:color w:val="5A7D3A"/>
          <w:sz w:val="18"/>
        </w:rPr>
        <w:t>https://pubmed.ncbi.nlm.nih.gov/42825653/</w:t>
      </w:r>
    </w:p>
    <w:p>
      <w:pPr>
        <w:pStyle w:val="Heading2"/>
      </w:pPr>
      <w:r>
        <w:t>Gastric Bypass erhöht Antibiotika-Versagen bei Blasenentzündung in der Schwangerschaft</w:t>
      </w:r>
    </w:p>
    <w:p>
      <w:r>
        <w:rPr>
          <w:i/>
          <w:color w:val="666666"/>
          <w:sz w:val="18"/>
        </w:rPr>
        <w:t>Thunbo MØ et al.  ·  Basic Clin Pharmacol Toxicol  ·  Nov. 2026  ·  PMID 42825591</w:t>
      </w:r>
    </w:p>
    <w:p>
      <w:r>
        <w:t>Registerbasierte dänische Studie an 1985 Schwangerschaften nach Magenbypass und 1,4 Mio. ohne, zur Wirksamkeit von Antibiotika gegen Blasenentzündung.</w:t>
      </w:r>
    </w:p>
    <w:p>
      <w:r>
        <w:rPr>
          <w:b/>
        </w:rPr>
        <w:t xml:space="preserve">Ergebnis: </w:t>
      </w:r>
      <w:r>
        <w:t>Frauen nach Bypass zeigten 22,6% vs. 12,7% Antibiotikaeinnahme. Bei Exposition stieg das Risiko wiederholter Antibiotikaverschreibung (aOR 1,69, 95%-KI 1,22–2,30) und dokumentierter Blasenentzündung (aOR 2,22, 95%-KI 1,24–3,67). Schwere Komplikationen blieben selten. Die resorptionsbeeinträchtigte Anatomie nach Bypass gefährdet den Behandlungserfolg.</w:t>
      </w:r>
    </w:p>
    <w:p>
      <w:r>
        <w:rPr>
          <w:b/>
          <w:sz w:val="19"/>
        </w:rPr>
        <w:t xml:space="preserve">Übertragbarkeit: </w:t>
      </w:r>
      <w:r>
        <w:rPr>
          <w:sz w:val="19"/>
        </w:rPr>
        <w:t>Dänemark, vergleichbares Sozialversicherungssystem, gut übertragbar</w:t>
      </w:r>
    </w:p>
    <w:p>
      <w:r>
        <w:rPr>
          <w:color w:val="5A7D3A"/>
          <w:sz w:val="18"/>
        </w:rPr>
        <w:t>https://pubmed.ncbi.nlm.nih.gov/42825591/</w:t>
      </w:r>
    </w:p>
    <w:p>
      <w:pPr>
        <w:pStyle w:val="Heading2"/>
      </w:pPr>
      <w:r>
        <w:t>KI-gestütztes Trainingsprogramm: BMI und Körperfett bei Kindern mit Adipositas um 6–9% gesenkt</w:t>
      </w:r>
    </w:p>
    <w:p>
      <w:r>
        <w:rPr>
          <w:i/>
          <w:color w:val="666666"/>
          <w:sz w:val="18"/>
        </w:rPr>
        <w:t>Cao L et al.  ·  Front Public Health  ·  17.09.2026  ·  PMID 42824389</w:t>
      </w:r>
    </w:p>
    <w:p>
      <w:r>
        <w:t>Chinesische Pilotstudie mit 19 Kindern mit einfacher Adipositas (mittleres Alter 10,1 Jahre) zu 12-wöchigem individualisierten, KI-unterstütztem Trainingsintervention mit Coaching vor Ort.</w:t>
      </w:r>
    </w:p>
    <w:p>
      <w:r>
        <w:rPr>
          <w:b/>
        </w:rPr>
        <w:t xml:space="preserve">Ergebnis: </w:t>
      </w:r>
      <w:r>
        <w:t>BMI sank von 25,29±3,56 auf 23,64±3,60 kg/m² (p&lt;0,001, d=0,46), Körperfettmasse von 21,06±6,70 auf 17,94±6,69 kg (p&lt;0,001, d=0,47). Griffstärke, Seilspringen, Sit-ups und posturale Kontrolle verbesserten sich signifikant. Alle 19 Teilnehmer vollendeten ohne unerwünschte Ereignisse. Machbarkeit belegt, weitere RCTs geplant.</w:t>
      </w:r>
    </w:p>
    <w:p>
      <w:r>
        <w:rPr>
          <w:b/>
          <w:sz w:val="19"/>
        </w:rPr>
        <w:t xml:space="preserve">Übertragbarkeit: </w:t>
      </w:r>
      <w:r>
        <w:rPr>
          <w:sz w:val="19"/>
        </w:rPr>
        <w:t>China, Machbarkeitsstudie, Übertragbarkeit hängt von Zugang zu KI-Systemen ab</w:t>
      </w:r>
    </w:p>
    <w:p>
      <w:r>
        <w:rPr>
          <w:color w:val="5A7D3A"/>
          <w:sz w:val="18"/>
        </w:rPr>
        <w:t>https://pubmed.ncbi.nlm.nih.gov/42824389/</w:t>
      </w:r>
    </w:p>
    <w:p>
      <w:pPr>
        <w:pStyle w:val="Heading2"/>
      </w:pPr>
      <w:r>
        <w:t>Übergewicht bei Medizinstudierenden: Blutdruck erhöht, Lebensqualität aber nicht beeinträchtigt</w:t>
      </w:r>
    </w:p>
    <w:p>
      <w:r>
        <w:rPr>
          <w:i/>
          <w:color w:val="666666"/>
          <w:sz w:val="18"/>
        </w:rPr>
        <w:t>Zieleń-Zynek I et al.  ·  Front Public Health  ·  17.09.2026  ·  PMID 42824148</w:t>
      </w:r>
    </w:p>
    <w:p>
      <w:r>
        <w:t>Prospektive 2-Jahres-Kohortenstudie an 887 (Folgejahr 705) Medizinstudierenden aus Polen zu Übergewicht, Bluthochdruck und Lebensqualität mittels WHOQOL-BREF.</w:t>
      </w:r>
    </w:p>
    <w:p>
      <w:r>
        <w:rPr>
          <w:b/>
        </w:rPr>
        <w:t xml:space="preserve">Ergebnis: </w:t>
      </w:r>
      <w:r>
        <w:t>Übergewicht/Adipositas stieg von 12,9% auf 13,6%, signifikant höher bei Männern. Höchste Bluthochdruckraten bei Adipösen (p&lt;0,0001) in beiden Jahren. Gesamtlebensqualität unterschied sich nicht signifikant nach BMI-Kategorien. Finanzielle Schwierigkeiten (OR=1,67–1,91) und chronische Erkrankungen (OR=2,15–2,23) waren unabhängige Prädiktoren niedrigerer Lebensqualität, nicht das BMI selbst.</w:t>
      </w:r>
    </w:p>
    <w:p>
      <w:r>
        <w:rPr>
          <w:b/>
          <w:sz w:val="19"/>
        </w:rPr>
        <w:t xml:space="preserve">Übertragbarkeit: </w:t>
      </w:r>
      <w:r>
        <w:rPr>
          <w:sz w:val="19"/>
        </w:rPr>
        <w:t>Polen, europäisches System, vergleichbar mit deutschem Studiensetting</w:t>
      </w:r>
    </w:p>
    <w:p>
      <w:r>
        <w:rPr>
          <w:color w:val="5A7D3A"/>
          <w:sz w:val="18"/>
        </w:rPr>
        <w:t>https://pubmed.ncbi.nlm.nih.gov/42824148/</w:t>
      </w:r>
    </w:p>
    <w:p>
      <w:pPr>
        <w:pStyle w:val="Heading2"/>
      </w:pPr>
      <w:r>
        <w:t>Adipositas verschärft Asthma: 67% höhere Hospitalisierungsrate</w:t>
      </w:r>
    </w:p>
    <w:p>
      <w:r>
        <w:rPr>
          <w:i/>
          <w:color w:val="666666"/>
          <w:sz w:val="18"/>
        </w:rPr>
        <w:t>Scott HA et al.  ·  Respir Res  ·  21.08.2026  ·  PMID 42823689</w:t>
      </w:r>
    </w:p>
    <w:p>
      <w:r>
        <w:t>Australasische Schweregrad-Asthma-Registry mit 1019 Patienten (882 schwer, 137 nicht-schwer) zur Rolle von Adipositas auf Asthma-Ergebnisse und Atemwegentzündung.</w:t>
      </w:r>
    </w:p>
    <w:p>
      <w:r>
        <w:rPr>
          <w:b/>
        </w:rPr>
        <w:t xml:space="preserve">Ergebnis: </w:t>
      </w:r>
      <w:r>
        <w:t>Adipöse Patienten mit schwerem Asthma zeigten 26,2% vs. 15,7% Spitaleinweisungen im Vorjahr (p&lt;0,001), schlechtere Asthmakontrolle, reduzierte Lungenfunktion und erhöhte Sputum-Neutrophile. Geschlechtsspezifisch: Neutrophile korrelierten mit BMI bei Frauen (rs=0,370, p=0,003), nicht bei Männern (rs=0,092, p=0,495).</w:t>
      </w:r>
    </w:p>
    <w:p>
      <w:r>
        <w:rPr>
          <w:b/>
          <w:sz w:val="19"/>
        </w:rPr>
        <w:t xml:space="preserve">Übertragbarkeit: </w:t>
      </w:r>
      <w:r>
        <w:rPr>
          <w:sz w:val="19"/>
        </w:rPr>
        <w:t>Australien/Neuseeland, ähnlicher Versorgungsauftrag, teilweise übertragbar</w:t>
      </w:r>
    </w:p>
    <w:p>
      <w:r>
        <w:rPr>
          <w:color w:val="5A7D3A"/>
          <w:sz w:val="18"/>
        </w:rPr>
        <w:t>https://pubmed.ncbi.nlm.nih.gov/42823689/</w:t>
      </w:r>
    </w:p>
    <w:p>
      <w:pPr>
        <w:pStyle w:val="Heading2"/>
      </w:pPr>
      <w:r>
        <w:t>Endoskopische Gastroplastie: Nährstoffstatus nach 6 Monaten stabil, Gewichtsverlust anhaltend</w:t>
      </w:r>
    </w:p>
    <w:p>
      <w:r>
        <w:rPr>
          <w:i/>
          <w:color w:val="666666"/>
          <w:sz w:val="18"/>
        </w:rPr>
        <w:t>Lisboa AF et al.  ·  Arq Bras Cir Dig  ·  28.09.2026  ·  PMID 42820570</w:t>
      </w:r>
    </w:p>
    <w:p>
      <w:r>
        <w:t>Retrospektive brasilianische Beobachtungsstudie an 27 adipösen Patienten (88,9% Frauen, mittleres Alter 43,8 Jahre) zur Nährstoffbilanz vor und 6 Monate nach endoskopischer Gastroplastie.</w:t>
      </w:r>
    </w:p>
    <w:p>
      <w:r>
        <w:rPr>
          <w:b/>
        </w:rPr>
        <w:t xml:space="preserve">Ergebnis: </w:t>
      </w:r>
      <w:r>
        <w:t>Mittlerer BMI von 35,31±8,7 kg/m². Gesamtgewichtsverlust 10±5,7 kg, Übergewichtsverlust 41,1±28,1%. Präoperativ: Eisenmangel (n=1), B12-Mangel (n=2), Vitamin-D-Mangel (n=2), Zinkmangel (n=1), Kalziummangel (n=2), Hyperglykämie (n=4). Postoperativ keine Mangelerscheinungen, stabile Laborwerte (p&gt;0,05), anhaltender Gewichtsverlust. Kurzzeitnachbeobachtung ohne Defizitentwicklung.</w:t>
      </w:r>
    </w:p>
    <w:p>
      <w:r>
        <w:rPr>
          <w:b/>
          <w:sz w:val="19"/>
        </w:rPr>
        <w:t xml:space="preserve">Übertragbarkeit: </w:t>
      </w:r>
      <w:r>
        <w:rPr>
          <w:sz w:val="19"/>
        </w:rPr>
        <w:t>Brasilien, Endoskopie übertragbar, aber kleine Fallzahl und 6-Monats-Horizont limitiert</w:t>
      </w:r>
    </w:p>
    <w:p>
      <w:r>
        <w:rPr>
          <w:color w:val="5A7D3A"/>
          <w:sz w:val="18"/>
        </w:rPr>
        <w:t>https://pubmed.ncbi.nlm.nih.gov/42820570/</w:t>
      </w:r>
    </w:p>
    <w:p>
      <w:pPr>
        <w:pStyle w:val="Heading1"/>
      </w:pPr>
      <w:r>
        <w:t>Aufgenommen am 02.10.2026</w:t>
      </w:r>
    </w:p>
    <w:p>
      <w:pPr>
        <w:pStyle w:val="Heading2"/>
      </w:pPr>
      <w:r>
        <w:t>Tirzepatid in europäischer Pharmakovigilanz: höhere Off-label-Nutzung, geringere Ineffektivitätsmeldungen</w:t>
      </w:r>
    </w:p>
    <w:p>
      <w:r>
        <w:rPr>
          <w:i/>
          <w:color w:val="666666"/>
          <w:sz w:val="18"/>
        </w:rPr>
        <w:t>Popa Ilie IR et al.  ·  BMJ Open  ·  01.10.2026  ·  PMID 42823110</w:t>
      </w:r>
    </w:p>
    <w:p>
      <w:r>
        <w:t>Retrospektive Pharmakovigilanz-Analyse des EudraVigilance-Systems verglich Adverse-Event-Meldungen zu Tirzepatid mit anderen GLP-1-Rezeptor-Agonisten.</w:t>
      </w:r>
    </w:p>
    <w:p>
      <w:r>
        <w:rPr>
          <w:b/>
        </w:rPr>
        <w:t xml:space="preserve">Ergebnis: </w:t>
      </w:r>
      <w:r>
        <w:t>Tirzepatid zeigte niedrigere Meldequoten für 'Drug ineffective' vs. Liraglutid (ROR 0,61 [95%-CI: 0,54–0,70]), Dulaglutid (0,72 [0,63–0,82]) und Semaglutid (0,81 [0,72–0,91]). Höhere Meldequoten für 'Off-label use' vs. Liraglutid, aber niedrigere vs. Semaglutid (ROR 0,52 [95%-CI: 0,49–0,55]). Befunde ergänzen Zulassungsstudien durch Real-World-Sicherheitssignale.</w:t>
      </w:r>
    </w:p>
    <w:p>
      <w:r>
        <w:rPr>
          <w:b/>
          <w:sz w:val="19"/>
        </w:rPr>
        <w:t xml:space="preserve">Übertragbarkeit: </w:t>
      </w:r>
      <w:r>
        <w:rPr>
          <w:sz w:val="19"/>
        </w:rPr>
        <w:t>Europa, EudraVigilance-System erfasst EU-Meldungen, Erstattung unterschiedlich nach Land</w:t>
      </w:r>
    </w:p>
    <w:p>
      <w:r>
        <w:rPr>
          <w:color w:val="5A7D3A"/>
          <w:sz w:val="18"/>
        </w:rPr>
        <w:t>https://pubmed.ncbi.nlm.nih.gov/42823110/</w:t>
      </w:r>
    </w:p>
    <w:p>
      <w:pPr>
        <w:pStyle w:val="Heading2"/>
      </w:pPr>
      <w:r>
        <w:t>Child Eating Behaviour Questionnaire: vereinfachte Scores prognostizieren Adipositasrisiko besser als Einzeldomänen</w:t>
      </w:r>
    </w:p>
    <w:p>
      <w:r>
        <w:rPr>
          <w:i/>
          <w:color w:val="666666"/>
          <w:sz w:val="18"/>
        </w:rPr>
        <w:t>Renier TJ et al.  ·  Pediatr Obes  ·  Okt. 2026  ·  PMID 42808752</w:t>
      </w:r>
    </w:p>
    <w:p>
      <w:r>
        <w:t>Querschnittsstudie (n=354 Kinder, 9–12 Jahre) entwickelte datengesteuerte Composite-Scores aus Child Eating Behaviour Questionnaire-Items zur Vorhersage des BMI und genetischen Adipositasrisikos.</w:t>
      </w:r>
    </w:p>
    <w:p>
      <w:r>
        <w:rPr>
          <w:b/>
        </w:rPr>
        <w:t xml:space="preserve">Ergebnis: </w:t>
      </w:r>
      <w:r>
        <w:t>Drei Composite-Scores (4–18 Items) stärker mit BMI-z-Score korreliert (r 0,38–0,42; p&lt;0,001) als Einzeldomänen-Scores und signifikant mit beiden Polygenic-Risk-Scores assoziiert. Composite-Scores mit Ladevektoren ≥|0,50| oder ≥|0,70| zeigten Korrelationen r=0,77–0,97 untereinander. Vereinfachte Erfassung appetitiver Traits zur Adipositasrisikostratifizierung möglich.</w:t>
      </w:r>
    </w:p>
    <w:p>
      <w:r>
        <w:rPr>
          <w:b/>
          <w:sz w:val="19"/>
        </w:rPr>
        <w:t xml:space="preserve">Übertragbarkeit: </w:t>
      </w:r>
      <w:r>
        <w:rPr>
          <w:sz w:val="19"/>
        </w:rPr>
        <w:t>UK-Zwillingskohortendaten, Ernährungsverhalten kulturübergreifend relevant</w:t>
      </w:r>
    </w:p>
    <w:p>
      <w:r>
        <w:rPr>
          <w:color w:val="5A7D3A"/>
          <w:sz w:val="18"/>
        </w:rPr>
        <w:t>https://pubmed.ncbi.nlm.nih.gov/42808752/</w:t>
      </w:r>
    </w:p>
    <w:p>
      <w:pPr>
        <w:pStyle w:val="Heading2"/>
      </w:pPr>
      <w:r>
        <w:t>Tirzepatid versus Semaglutid: Kosteneffizienz bei strengen Therapiezielen in der Versorgungswirklichkeit</w:t>
      </w:r>
    </w:p>
    <w:p>
      <w:r>
        <w:rPr>
          <w:i/>
          <w:color w:val="666666"/>
          <w:sz w:val="18"/>
        </w:rPr>
        <w:t>Hoog MM et al.  ·  J Manag Care Spec Pharm  ·  Okt. 2026  ·  PMID 42808550</w:t>
      </w:r>
    </w:p>
    <w:p>
      <w:r>
        <w:t>US-amerikanische Kohortenstudie (n=10.702 naive, n=5.577 nicht-naive GLP-1-Patienten) verglich Therapietreue, Gewichtsverlust und Kosten pro erreichtem Ziel über 12 Monate.</w:t>
      </w:r>
    </w:p>
    <w:p>
      <w:r>
        <w:rPr>
          <w:b/>
        </w:rPr>
        <w:t xml:space="preserve">Ergebnis: </w:t>
      </w:r>
      <w:r>
        <w:t>Tirzepatid-Nutzer zeigten höhere Adhärenz (naiv: 60% vs. 45%), Persistenz (naiv: 62% vs. 47%) und erreichten strengere Ziele häufiger: A1c&lt;5,7% (naiv 30% vs. 18%), Gewichtsabnahme ≥15% (naiv 23% vs. 10%). Tirzepatid mit niedrigeren Kosten pro Responder für stringente Endpunkte: A1c&lt;5,7% (naiv $45.300 vs. $65.300), Gewichtsabnahme ≥15% (naiv $62.900 vs. $124.400).</w:t>
      </w:r>
    </w:p>
    <w:p>
      <w:r>
        <w:rPr>
          <w:b/>
          <w:sz w:val="19"/>
        </w:rPr>
        <w:t xml:space="preserve">Übertragbarkeit: </w:t>
      </w:r>
      <w:r>
        <w:rPr>
          <w:sz w:val="19"/>
        </w:rPr>
        <w:t>USA-Daten, aber Versicherungskontext grundlegend anders als Deutschland (§34 SGB V)</w:t>
      </w:r>
    </w:p>
    <w:p>
      <w:r>
        <w:rPr>
          <w:color w:val="5A7D3A"/>
          <w:sz w:val="18"/>
        </w:rPr>
        <w:t>https://pubmed.ncbi.nlm.nih.gov/42808550/</w:t>
      </w:r>
    </w:p>
    <w:p>
      <w:pPr>
        <w:pStyle w:val="Heading2"/>
      </w:pPr>
      <w:r>
        <w:t>Massive Gewichtsabnahme nach Adipositaschirurgie: psychosoziale Komplexität bei Brustrekonstruktion</w:t>
      </w:r>
    </w:p>
    <w:p>
      <w:r>
        <w:rPr>
          <w:i/>
          <w:color w:val="666666"/>
          <w:sz w:val="18"/>
        </w:rPr>
        <w:t>Paganini A et al.  ·  Clin Breast Cancer  ·  07.09.2026  ·  PMID 42790227</w:t>
      </w:r>
    </w:p>
    <w:p>
      <w:r>
        <w:t>Schwedische populationsbasierte Fall-Kontroll-Studie (n=81 mit massiver Gewichtsabnahme, n=993 Kontrollen) untersuchte Unterschiede zwischen Frauen mit und ohne vorherige Adipositaschirurgie vor Brustrekonstruktion.</w:t>
      </w:r>
    </w:p>
    <w:p>
      <w:r>
        <w:rPr>
          <w:b/>
        </w:rPr>
        <w:t xml:space="preserve">Ergebnis: </w:t>
      </w:r>
      <w:r>
        <w:t>Frauen mit massiver Gewichtsabnahme (mittl. 30,6 kg vor Rekonstruktion) häufiger geschieden/getrennt, mit höherer Prävalenz psychiatrischer, kardiovaskulärer und rheumatischer Erkrankungen (&gt;2× häufiger, nach Bonferroni-Korrektur nicht alle signifikant). Vitamin-, Mineral- und Anämie-Medikamentenutzung signifikant erhöht. Erkannte Unterschiede unterstützen perioperatives Management.</w:t>
      </w:r>
    </w:p>
    <w:p>
      <w:r>
        <w:rPr>
          <w:b/>
          <w:sz w:val="19"/>
        </w:rPr>
        <w:t xml:space="preserve">Übertragbarkeit: </w:t>
      </w:r>
      <w:r>
        <w:rPr>
          <w:sz w:val="19"/>
        </w:rPr>
        <w:t>Schweden, skandinavisches Versicherungssystem, landesweit registrierte Fälle</w:t>
      </w:r>
    </w:p>
    <w:p>
      <w:r>
        <w:rPr>
          <w:color w:val="5A7D3A"/>
          <w:sz w:val="18"/>
        </w:rPr>
        <w:t>https://pubmed.ncbi.nlm.nih.gov/42790227/</w:t>
      </w:r>
    </w:p>
    <w:p>
      <w:pPr>
        <w:pStyle w:val="Heading2"/>
      </w:pPr>
      <w:r>
        <w:t>Pankreatisches Fett und Gewichtsverlust: MRT-Messmethode zeigt signifikante Reduktion nach Lebensstiländerung</w:t>
      </w:r>
    </w:p>
    <w:p>
      <w:r>
        <w:rPr>
          <w:i/>
          <w:color w:val="666666"/>
          <w:sz w:val="18"/>
        </w:rPr>
        <w:t>Braun P et al.  ·  NMR Biomed  ·  Nov. 2026  ·  PMID 42788241</w:t>
      </w:r>
    </w:p>
    <w:p>
      <w:r>
        <w:t>Deutsche Interventionsstudie LION (n=18) evaluierte MRT-Sequenzierungsmethode zur Quantifizierung pankreatischen Fetts bei Adipositaspatienten während Lebensstiländerung.</w:t>
      </w:r>
    </w:p>
    <w:p>
      <w:r>
        <w:rPr>
          <w:b/>
        </w:rPr>
        <w:t xml:space="preserve">Ergebnis: </w:t>
      </w:r>
      <w:r>
        <w:t>Pancreatic PDFF (Fettfraktionsanteil) sank signifikant um 2,3±2,1% (Cartesian p&lt;0,001, Radial p&lt;0,01), Pankreasvolumen um 8,4±7,7 cm³ (beide p&lt;0,001). Exzellente Übereinstimmung zwischen Radial- und Cartesian-Sequenzen (PDFF: ICC=0,98). Neue free-breathing Sequenz ermöglicht Fettwertmessungen ohne Atemhaltemanöver.</w:t>
      </w:r>
    </w:p>
    <w:p>
      <w:r>
        <w:rPr>
          <w:b/>
          <w:sz w:val="19"/>
        </w:rPr>
        <w:t xml:space="preserve">Übertragbarkeit: </w:t>
      </w:r>
      <w:r>
        <w:rPr>
          <w:sz w:val="19"/>
        </w:rPr>
        <w:t>Deutschland, TU München-Klinikdaten, Interventionsparameter europäisch vergleichbar</w:t>
      </w:r>
    </w:p>
    <w:p>
      <w:r>
        <w:rPr>
          <w:color w:val="5A7D3A"/>
          <w:sz w:val="18"/>
        </w:rPr>
        <w:t>https://pubmed.ncbi.nlm.nih.gov/42788241/</w:t>
      </w:r>
    </w:p>
    <w:p>
      <w:pPr>
        <w:pStyle w:val="Heading2"/>
      </w:pPr>
      <w:r>
        <w:t>Stilldauer und Adipositas-assoziierte Krebsrisiken bei Müttern: 60 Jahre Nachbeobachtung ohne Schutzeffekt</w:t>
      </w:r>
    </w:p>
    <w:p>
      <w:r>
        <w:rPr>
          <w:i/>
          <w:color w:val="666666"/>
          <w:sz w:val="18"/>
        </w:rPr>
        <w:t>Christensen SH et al.  ·  Matern Child Nutr  ·  Juli 2026  ·  PMID 42775711</w:t>
      </w:r>
    </w:p>
    <w:p>
      <w:r>
        <w:t>Dänische Geburtskohortenstudie (n=6.880) untersuchte, ob Stilldauer mit reduziertem Risiko für Adipositas-assoziierte Krebserkrankungen bei Müttern verbunden ist.</w:t>
      </w:r>
    </w:p>
    <w:p>
      <w:r>
        <w:rPr>
          <w:b/>
        </w:rPr>
        <w:t xml:space="preserve">Ergebnis: </w:t>
      </w:r>
      <w:r>
        <w:t>Weder Dauer des ausschließlichen noch irgendeines Stillens zeigte Assoziation mit Adipositas-assoziierten Krebserkrankungen (HR=1,00 [95%-CI: 0,96–1,03] pro Monat), Endometrium-, Ovarial- oder postmenopausalen Brustkrebs über 54 Jahre. Prospektive Studien mit längeren und variablen Stilldauern erforderlich.</w:t>
      </w:r>
    </w:p>
    <w:p>
      <w:r>
        <w:rPr>
          <w:b/>
          <w:sz w:val="19"/>
        </w:rPr>
        <w:t xml:space="preserve">Übertragbarkeit: </w:t>
      </w:r>
      <w:r>
        <w:rPr>
          <w:sz w:val="19"/>
        </w:rPr>
        <w:t>Dänemarks Registerdaten, vergleichbares europäisches Versorgungssystem</w:t>
      </w:r>
    </w:p>
    <w:p>
      <w:r>
        <w:rPr>
          <w:color w:val="5A7D3A"/>
          <w:sz w:val="18"/>
        </w:rPr>
        <w:t>https://pubmed.ncbi.nlm.nih.gov/42775711/</w:t>
      </w:r>
    </w:p>
    <w:p>
      <w:pPr>
        <w:pStyle w:val="Heading2"/>
      </w:pPr>
      <w:r>
        <w:t>Sonneneinstrahlung und Schlaf: Geschlechtsspezifische Assoziationen mit Adipositas bei portugiesischen Kindern</w:t>
      </w:r>
    </w:p>
    <w:p>
      <w:r>
        <w:rPr>
          <w:i/>
          <w:color w:val="666666"/>
          <w:sz w:val="18"/>
        </w:rPr>
        <w:t>Dos Santos EA et al.  ·  Am J Hum Biol  ·  Sept. 2026  ·  PMID 42764707</w:t>
      </w:r>
    </w:p>
    <w:p>
      <w:r>
        <w:t>Portugiesische Querschnittsstudie (n=4.755, Alter 3–10 Jahre) untersuchte Zusammenhänge zwischen Sonneneinstrahlung, Schlafverhalten und Adipositasindikatoren.</w:t>
      </w:r>
    </w:p>
    <w:p>
      <w:r>
        <w:rPr>
          <w:b/>
        </w:rPr>
        <w:t xml:space="preserve">Ergebnis: </w:t>
      </w:r>
      <w:r>
        <w:t>Sonneneinstrahlung zeigte geschlechtsspezifische, bescheidene Assoziationen mit Schlafverhalten. Bei Jungen sonntags negative Assoziation (β=–4,57; 95%-CI: –8,22 bis –0,91; p=0,014), bei Mädchen im vollständig adjustierten Modell keine signifikanten Assoziationen. Umwelt- und Verhaltensfaktoren relevant für Adipositäsprävention.</w:t>
      </w:r>
    </w:p>
    <w:p>
      <w:r>
        <w:rPr>
          <w:b/>
          <w:sz w:val="19"/>
        </w:rPr>
        <w:t xml:space="preserve">Übertragbarkeit: </w:t>
      </w:r>
      <w:r>
        <w:rPr>
          <w:sz w:val="19"/>
        </w:rPr>
        <w:t>Portugal, europäisches Primärversorgungssystem, Public-Health-Erhebung</w:t>
      </w:r>
    </w:p>
    <w:p>
      <w:r>
        <w:rPr>
          <w:color w:val="5A7D3A"/>
          <w:sz w:val="18"/>
        </w:rPr>
        <w:t>https://pubmed.ncbi.nlm.nih.gov/42764707/</w:t>
      </w:r>
    </w:p>
    <w:p>
      <w:pPr>
        <w:pStyle w:val="Heading1"/>
      </w:pPr>
      <w:r>
        <w:t>Aufgenommen am 01.10.2026</w:t>
      </w:r>
    </w:p>
    <w:p>
      <w:pPr>
        <w:pStyle w:val="Heading2"/>
      </w:pPr>
      <w:r>
        <w:t>Übergewichtsverlauf in der Kindheit und Asthmainzidenz: Prospektive japanische Geburtskohortenstudie</w:t>
      </w:r>
    </w:p>
    <w:p>
      <w:r>
        <w:rPr>
          <w:i/>
          <w:color w:val="666666"/>
          <w:sz w:val="18"/>
        </w:rPr>
        <w:t>Akaike S et al.  ·  Environ Health Prev Med  ·  2026  ·  PMID 42816370</w:t>
      </w:r>
    </w:p>
    <w:p>
      <w:r>
        <w:t>Prospektive Kohortenstudie mit 11.433 Eltern-Kind-Paaren aus Japan zum Zusammenhang zwischen BMI-Standardabweichungsverlauf in den ersten Lebensjahren und Asthmaentwicklung im Alter von 3–4 Jahren.</w:t>
      </w:r>
    </w:p>
    <w:p>
      <w:r>
        <w:rPr>
          <w:b/>
        </w:rPr>
        <w:t xml:space="preserve">Ergebnis: </w:t>
      </w:r>
      <w:r>
        <w:t>Kinder mit durchgehend erhöhtem BMI-Verlauf hatten höheres Asthmarisiko als Kinder mit Normalgewichtsverlauf (adjustierte OR 1,31; 95%-KI 1,11–1,55; p = 0,001 im Alter 3 Jahre). Der Zusammenhang war bei Jungen stärker ausgeprägt (aOR 1,39; 95%-KI 1,12–1,73) als bei Mädchen (aOR 1,24; nicht signifikant). Im Alter 4 Jahren blieb die Assoziation bestehen.</w:t>
      </w:r>
    </w:p>
    <w:p>
      <w:r>
        <w:rPr>
          <w:b/>
          <w:sz w:val="19"/>
        </w:rPr>
        <w:t xml:space="preserve">Übertragbarkeit: </w:t>
      </w:r>
      <w:r>
        <w:rPr>
          <w:sz w:val="19"/>
        </w:rPr>
        <w:t>Japan - Transfer auf Deutschland fraglich wegen unterschiedlicher Adipositasprävalenz und Gesundheitssystemstruktur</w:t>
      </w:r>
    </w:p>
    <w:p>
      <w:r>
        <w:rPr>
          <w:color w:val="5A7D3A"/>
          <w:sz w:val="18"/>
        </w:rPr>
        <w:t>https://pubmed.ncbi.nlm.nih.gov/42816370/</w:t>
      </w:r>
    </w:p>
    <w:p>
      <w:pPr>
        <w:pStyle w:val="Heading2"/>
      </w:pPr>
      <w:r>
        <w:t>Jugendliches Übergewicht in Afrika: Sicht der Adoleszenten auf Einflüsse von Kultur, Peers und Medien</w:t>
      </w:r>
    </w:p>
    <w:p>
      <w:r>
        <w:rPr>
          <w:i/>
          <w:color w:val="666666"/>
          <w:sz w:val="18"/>
        </w:rPr>
        <w:t>Osei Bonsu E et al.  ·  Curr Obes Rep  ·  30.09.2026  ·  PMID 42814247</w:t>
      </w:r>
    </w:p>
    <w:p>
      <w:r>
        <w:t>Systematische qualitative Scoping Review zu Wahrnehmungen von 17 Studien aus 8 afrikanischen Ländern darüber, wie Kultur, Peers, Familie und Medien das Körpergewicht und Stigmatisierung bei Jugendlichen beeinflussen.</w:t>
      </w:r>
    </w:p>
    <w:p>
      <w:r>
        <w:rPr>
          <w:b/>
        </w:rPr>
        <w:t xml:space="preserve">Ergebnis: </w:t>
      </w:r>
      <w:r>
        <w:t>Adoleszenten nannten Peers und Eltern/Familie als wichtige Einflussfaktoren für ungesunde Lebensmittelwahl und körperliche Aktivität; Medien prägte Körperbild-Wahrnehmungen. In mehreren Studien wurde Übergewicht mit Wohlstand und Gesundheit assoziiert, Untergewicht mit Krankheit. Weight Bias wurde unabhängig vom Gewichtsstatus berichtet.</w:t>
      </w:r>
    </w:p>
    <w:p>
      <w:r>
        <w:rPr>
          <w:b/>
          <w:sz w:val="19"/>
        </w:rPr>
        <w:t xml:space="preserve">Übertragbarkeit: </w:t>
      </w:r>
      <w:r>
        <w:rPr>
          <w:sz w:val="19"/>
        </w:rPr>
        <w:t>Subsahara-Afrika – begrenzte Übertragbarkeit auf Deutschland, aber relevant für Stigma-Programmgestaltung</w:t>
      </w:r>
    </w:p>
    <w:p>
      <w:r>
        <w:rPr>
          <w:color w:val="5A7D3A"/>
          <w:sz w:val="18"/>
        </w:rPr>
        <w:t>https://pubmed.ncbi.nlm.nih.gov/42814247/</w:t>
      </w:r>
    </w:p>
    <w:p>
      <w:pPr>
        <w:pStyle w:val="Heading2"/>
      </w:pPr>
      <w:r>
        <w:t>Facharztüberweisungspraxis zu Lebensstiländerungen: Barrieren und Förderer in der niederländischen Grundversorgung</w:t>
      </w:r>
    </w:p>
    <w:p>
      <w:r>
        <w:rPr>
          <w:i/>
          <w:color w:val="666666"/>
          <w:sz w:val="18"/>
        </w:rPr>
        <w:t>van Aken B et al.  ·  Prim Health Care Res Dev  ·  30.09.2026  ·  PMID 42813322</w:t>
      </w:r>
    </w:p>
    <w:p>
      <w:r>
        <w:t>Qualitative Studie mit 16 niederländischen Hausärzten zu Faktoren, die ihre Überweisungen an kombinierte Lebensstilinterventionen (Ernährung, Bewegung, Verhalten) bei Übergewicht und Adipositas beeinflussen.</w:t>
      </w:r>
    </w:p>
    <w:p>
      <w:r>
        <w:rPr>
          <w:b/>
        </w:rPr>
        <w:t xml:space="preserve">Ergebnis: </w:t>
      </w:r>
      <w:r>
        <w:t>Identifiziert wurden drei Überweisungsmuster: umfassend, kritisch und begrenzt. Fördernde Faktoren waren Ärzte-Bewusstsein für Programme, Wissen über Wirksamkeit, Selbstvertrauen und einfache Referenzsysteme. Barrieren waren Zweifel an Effektivität, Gewohnheiten, Identitätszweifel, mangelnde Zusammenarbeit mit Anbietern und unmotivierte Patienten.</w:t>
      </w:r>
    </w:p>
    <w:p>
      <w:r>
        <w:rPr>
          <w:b/>
          <w:sz w:val="19"/>
        </w:rPr>
        <w:t xml:space="preserve">Übertragbarkeit: </w:t>
      </w:r>
      <w:r>
        <w:rPr>
          <w:sz w:val="19"/>
        </w:rPr>
        <w:t>Niederlande, vergleichbares Versicherungssystem und strukturierte Programme wie in Deutschland</w:t>
      </w:r>
    </w:p>
    <w:p>
      <w:r>
        <w:rPr>
          <w:color w:val="5A7D3A"/>
          <w:sz w:val="18"/>
        </w:rPr>
        <w:t>https://pubmed.ncbi.nlm.nih.gov/42813322/</w:t>
      </w:r>
    </w:p>
    <w:p>
      <w:pPr>
        <w:pStyle w:val="Heading2"/>
      </w:pPr>
      <w:r>
        <w:t>Prägravidärer BMI und postpartale Stoffwechselgesundheit: UAE-Kohortenstudie</w:t>
      </w:r>
    </w:p>
    <w:p>
      <w:r>
        <w:rPr>
          <w:i/>
          <w:color w:val="666666"/>
          <w:sz w:val="18"/>
        </w:rPr>
        <w:t>Alameddine M et al.  ·  Womens Health (Lond)  ·  30.09.2026  ·  PMID 42813240</w:t>
      </w:r>
    </w:p>
    <w:p>
      <w:r>
        <w:t>Prospektive Kohortenstudie mit 256 Schwangeren in den VAE vom dritten Trimenon bis 6 Monate postpartal zum Zusammenhang von prägravidärem BMI, Schwangerschaftsgewichtszunahme und postpartaler Gewichtsretention mit Stoffwechselbiomarkern.</w:t>
      </w:r>
    </w:p>
    <w:p>
      <w:r>
        <w:rPr>
          <w:b/>
        </w:rPr>
        <w:t xml:space="preserve">Ergebnis: </w:t>
      </w:r>
      <w:r>
        <w:t>59,4% waren prägravidär übergewichtig/adipös und zeigten erhöhte Insulinlevel (OR 3,91; 95%-KI 1,36–11,24), erhöhte IL-6 (OR 5,11), CRP (OR 5,34), LDL (OR 2,89) und Gesamtcholesterin (OR 3,05). Unter Frauen mit erhöhtem prägravidärem BMI betrug die Odds für ≥3 Stoffwechselabweichungen 3,44 (95%-KI 1,36–8,68). Schwangerschaftsgewichtszunahme war nur mit TNF-α assoziiert, postpartale Retention mit Blutglukose.</w:t>
      </w:r>
    </w:p>
    <w:p>
      <w:r>
        <w:rPr>
          <w:b/>
          <w:sz w:val="19"/>
        </w:rPr>
        <w:t xml:space="preserve">Übertragbarkeit: </w:t>
      </w:r>
      <w:r>
        <w:rPr>
          <w:sz w:val="19"/>
        </w:rPr>
        <w:t>VAE, Mittlerer Osten – begrenzte Übertragbarkeit auf Deutschland wegen Bevölkerungsstruktur und sozialmedizinischer Unterschiede</w:t>
      </w:r>
    </w:p>
    <w:p>
      <w:r>
        <w:rPr>
          <w:color w:val="5A7D3A"/>
          <w:sz w:val="18"/>
        </w:rPr>
        <w:t>https://pubmed.ncbi.nlm.nih.gov/42813240/</w:t>
      </w:r>
    </w:p>
    <w:p>
      <w:pPr>
        <w:pStyle w:val="Heading2"/>
      </w:pPr>
      <w:r>
        <w:t>Prägravidärer BMI und Gewichtszunahme in der Schwangerschaft prägen Neugeborenengewicht</w:t>
      </w:r>
    </w:p>
    <w:p>
      <w:r>
        <w:rPr>
          <w:i/>
          <w:color w:val="666666"/>
          <w:sz w:val="18"/>
        </w:rPr>
        <w:t>Kiridana MGDVK et al.  ·  BMC Public Health  ·  06.08.2026  ·  PMID 42811316</w:t>
      </w:r>
    </w:p>
    <w:p>
      <w:r>
        <w:t>Prospektive Kohortenstudie mit 1.537 Schwangeren in Sri Lanka zum Einfluss von Prägravidität-BMI und Gewichtszunahme in der Schwangerschaft auf Geburtsgewicht von Neugeborenen nach Termin.</w:t>
      </w:r>
    </w:p>
    <w:p>
      <w:r>
        <w:rPr>
          <w:b/>
        </w:rPr>
        <w:t xml:space="preserve">Ergebnis: </w:t>
      </w:r>
      <w:r>
        <w:t>54,8% der Frauen hatten prägravidär erhöhtes BMI, 13,8% Untergewicht. 14,8% der Neugeborenen wiesen niedriges, 6,1% hohes Geburtsgewicht auf. Untergewicht-Mütter hatten erhöhtes Risiko für niedriges Geburtsgewicht (aOR 1,989; 95%-KI 1,184–3,340); übergewichtige Mütter für hohes Geburtsgewicht (aOR 2,147; 95%-KI 1,127–4,091). Beide Maße (prägravidärer BMI β = 17,44; Gewichtszunahme β = 14,424) sagten Geburtsgewicht linear voraus.</w:t>
      </w:r>
    </w:p>
    <w:p>
      <w:r>
        <w:rPr>
          <w:b/>
          <w:sz w:val="19"/>
        </w:rPr>
        <w:t xml:space="preserve">Übertragbarkeit: </w:t>
      </w:r>
      <w:r>
        <w:rPr>
          <w:sz w:val="19"/>
        </w:rPr>
        <w:t>Sri Lanka, Südasien – nur mütterliche Prävention übertragbar, nicht Folgezustände bei Mutter</w:t>
      </w:r>
    </w:p>
    <w:p>
      <w:r>
        <w:rPr>
          <w:color w:val="5A7D3A"/>
          <w:sz w:val="18"/>
        </w:rPr>
        <w:t>https://pubmed.ncbi.nlm.nih.gov/42811316/</w:t>
      </w:r>
    </w:p>
    <w:p>
      <w:pPr>
        <w:pStyle w:val="Heading2"/>
      </w:pPr>
      <w:r>
        <w:t>BMI differenziert metabolisches Risiko bei PCOS besser als Rotterdam-Kriterien</w:t>
      </w:r>
    </w:p>
    <w:p>
      <w:r>
        <w:rPr>
          <w:i/>
          <w:color w:val="666666"/>
          <w:sz w:val="18"/>
        </w:rPr>
        <w:t>Gambineri A et al.  ·  J Endocrinol Invest  ·  28.08.2026  ·  PMID 42663864</w:t>
      </w:r>
    </w:p>
    <w:p>
      <w:r>
        <w:t>Multizenter-Registry-Studie mit 1.314 Frauen mit Polyzystischem Ovarialsyndrom (PCOS) aus Italien zum Vergleich zwischen Rotterdam-Phänotypisierung und BMI-basierter Stratifizierung bei der Vorhersage metabolischer Komplikationen.</w:t>
      </w:r>
    </w:p>
    <w:p>
      <w:r>
        <w:rPr>
          <w:b/>
        </w:rPr>
        <w:t xml:space="preserve">Ergebnis: </w:t>
      </w:r>
      <w:r>
        <w:t>Rotterdam-Phänotypen zeigten keine signifikanten Unterschiede in BMI oder Stoffwechselkomplikationen (Dyslipidämie, Glukose-Intoleranz, Hypertension, metabolisches Syndrom), obwohl Angststörungen in Phänotyp A erhöht waren. Im Gegensatz dazu offenbarte BMI-Stratifizierung klare metabolische Unterschiede: Frauen mit Adipositas oder BMI ≥27 kg/m² zeigten höhere Prävalenz aller metabolischen Komplikationen sowie höhere freien Androgen-Index und Hirsutismus-Werte.</w:t>
      </w:r>
    </w:p>
    <w:p>
      <w:r>
        <w:rPr>
          <w:b/>
          <w:sz w:val="19"/>
        </w:rPr>
        <w:t xml:space="preserve">Übertragbarkeit: </w:t>
      </w:r>
      <w:r>
        <w:rPr>
          <w:sz w:val="19"/>
        </w:rPr>
        <w:t>Italien, vergleichbare europäische Struktur und sozialversichertes System</w:t>
      </w:r>
    </w:p>
    <w:p>
      <w:r>
        <w:rPr>
          <w:color w:val="5A7D3A"/>
          <w:sz w:val="18"/>
        </w:rPr>
        <w:t>https://pubmed.ncbi.nlm.nih.gov/42663864/</w:t>
      </w:r>
    </w:p>
    <w:p>
      <w:pPr>
        <w:pStyle w:val="Heading1"/>
      </w:pPr>
      <w:r>
        <w:t>Aufgenommen am 30.09.2026</w:t>
      </w:r>
    </w:p>
    <w:p>
      <w:pPr>
        <w:pStyle w:val="Heading2"/>
      </w:pPr>
      <w:r>
        <w:t>Mobile-App-gestützte Nachsorge erhöhte Therapietreue und Gewichtsabnahme um fünffach</w:t>
      </w:r>
    </w:p>
    <w:p>
      <w:r>
        <w:rPr>
          <w:i/>
          <w:color w:val="666666"/>
          <w:sz w:val="18"/>
        </w:rPr>
        <w:t>Villafañe H et al.  ·  Rev Fac Cien Med Univ Nac Cordoba  ·  01.09.2026  ·  PMID 42809870</w:t>
      </w:r>
    </w:p>
    <w:p>
      <w:r>
        <w:t>Randomisierte Studie bei 53 erwachsenen Patienten mit Übergewicht oder Adipositas, die drei Monate lang entweder konventionelle Nachsorge (alle zwei Wochen präsent) oder ein Hybrid-Modell (monatlich präsent plus asynchrone App-gestützte Begleitung) erhielten.</w:t>
      </w:r>
    </w:p>
    <w:p>
      <w:r>
        <w:rPr>
          <w:b/>
        </w:rPr>
        <w:t xml:space="preserve">Ergebnis: </w:t>
      </w:r>
      <w:r>
        <w:t>Die App-Gruppe zeigte 39% vs. 16% Therapietreue (p=0,03), 4,85fach höhere Wahrscheinlichkeit für Weitermachen und signifikante Reduktion von Gewicht, BMI, Kalorien, Kohlenhydraten und Fetten (nur in dieser Gruppe statistisch signifikant).</w:t>
      </w:r>
    </w:p>
    <w:p>
      <w:r>
        <w:rPr>
          <w:b/>
          <w:sz w:val="19"/>
        </w:rPr>
        <w:t xml:space="preserve">Übertragbarkeit: </w:t>
      </w:r>
      <w:r>
        <w:rPr>
          <w:sz w:val="19"/>
        </w:rPr>
        <w:t>Argentinische Primärversorgung, Modell auf deutschsprachige Praxen übertragbar</w:t>
      </w:r>
    </w:p>
    <w:p>
      <w:r>
        <w:rPr>
          <w:color w:val="5A7D3A"/>
          <w:sz w:val="18"/>
        </w:rPr>
        <w:t>https://pubmed.ncbi.nlm.nih.gov/42809870/</w:t>
      </w:r>
    </w:p>
    <w:p>
      <w:pPr>
        <w:pStyle w:val="Heading2"/>
      </w:pPr>
      <w:r>
        <w:t>Kardiometabolische Last bei informellen Arbeitern: hohe Prävalenz, geschlechts- und altersabhängig</w:t>
      </w:r>
    </w:p>
    <w:p>
      <w:r>
        <w:rPr>
          <w:i/>
          <w:color w:val="666666"/>
          <w:sz w:val="18"/>
        </w:rPr>
        <w:t>Hormenu T et al.  ·  PLoS One  ·  29.09.2026  ·  PMID 42809582</w:t>
      </w:r>
    </w:p>
    <w:p>
      <w:r>
        <w:t>Querschnittsstudie mit 948 informellen Arbeitern (Händler, Fischer, Handwerker, Bauern, Fahrer) in Ghana zur Prävalenz von Adipositas, Hypertonie, Prä-/Diabetes und assoziierten Faktoren.</w:t>
      </w:r>
    </w:p>
    <w:p>
      <w:r>
        <w:rPr>
          <w:b/>
        </w:rPr>
        <w:t xml:space="preserve">Ergebnis: </w:t>
      </w:r>
      <w:r>
        <w:t>Adipositas 45,5%, Hypertonie 40,2%, Prädiabetes 29,5%, Diabetes 13,4%; Frauen und 45–59-Jährige am stärksten betroffen; Fehlende Kindheits-Adipositas senkte OR für Adipositas (0,43), Diabetes (0,64), Hypertonie (0,63); geringe körperliche Aktivität erhöhte Hypertonie-Risiko (aOR=1,73).</w:t>
      </w:r>
    </w:p>
    <w:p>
      <w:r>
        <w:rPr>
          <w:b/>
          <w:sz w:val="19"/>
        </w:rPr>
        <w:t xml:space="preserve">Übertragbarkeit: </w:t>
      </w:r>
      <w:r>
        <w:rPr>
          <w:sz w:val="19"/>
        </w:rPr>
        <w:t>Ghana, LMIC-Kontext, Erkenntnisse zum frühen Verlauf und zu Präventionsfenstern übertragbar</w:t>
      </w:r>
    </w:p>
    <w:p>
      <w:r>
        <w:rPr>
          <w:color w:val="5A7D3A"/>
          <w:sz w:val="18"/>
        </w:rPr>
        <w:t>https://pubmed.ncbi.nlm.nih.gov/42809582/</w:t>
      </w:r>
    </w:p>
    <w:p>
      <w:pPr>
        <w:pStyle w:val="Heading2"/>
      </w:pPr>
      <w:r>
        <w:t>Ausgeglichene Bewegungsverhalten senkt Körperfettanstieg bei Schulkindern um 4%</w:t>
      </w:r>
    </w:p>
    <w:p>
      <w:r>
        <w:rPr>
          <w:i/>
          <w:color w:val="666666"/>
          <w:sz w:val="18"/>
        </w:rPr>
        <w:t>Zhao H et al.  ·  Eur J Pediatr  ·  29.09.2026  ·  PMID 42806172</w:t>
      </w:r>
    </w:p>
    <w:p>
      <w:r>
        <w:t>Längsschnittstudie mit 237 Schulkindern (8–12 Jahre) mit 1-Jahres-Follow-up zur Assoziation von 24-h-Bewegungsverhalten (Schlaf, Stillsitzen, leichte und intensive Aktivität) mit Körperfettänderung.</w:t>
      </w:r>
    </w:p>
    <w:p>
      <w:r>
        <w:rPr>
          <w:b/>
        </w:rPr>
        <w:t xml:space="preserve">Ergebnis: </w:t>
      </w:r>
      <w:r>
        <w:t>Optimale Komposition: 9,3 h Schlaf, 9,7 h Stillsitzen, 3,2 h leichte, 1,8 h intensive Aktivität; Einhaltung aller vier Parameter vs. nur einer reduzierte 1-Jahres-Körperfettzunahme um 4,0% (β=4,040, p=0,009); kein signifikanter Effekt auf BMI oder Taillen-Größen-Ratio.</w:t>
      </w:r>
    </w:p>
    <w:p>
      <w:r>
        <w:rPr>
          <w:b/>
          <w:sz w:val="19"/>
        </w:rPr>
        <w:t xml:space="preserve">Übertragbarkeit: </w:t>
      </w:r>
      <w:r>
        <w:rPr>
          <w:sz w:val="19"/>
        </w:rPr>
        <w:t>China, aber Beschleunigungsmeter-Messungen und Schlaf-Fragebogen international standardisiert</w:t>
      </w:r>
    </w:p>
    <w:p>
      <w:r>
        <w:rPr>
          <w:color w:val="5A7D3A"/>
          <w:sz w:val="18"/>
        </w:rPr>
        <w:t>https://pubmed.ncbi.nlm.nih.gov/42806172/</w:t>
      </w:r>
    </w:p>
    <w:p>
      <w:pPr>
        <w:pStyle w:val="Heading2"/>
      </w:pPr>
      <w:r>
        <w:t>BMI zeigt bidirektionale Wirkung auf Belastungstoleranz, mit Geschlechtsunterschiede</w:t>
      </w:r>
    </w:p>
    <w:p>
      <w:r>
        <w:rPr>
          <w:i/>
          <w:color w:val="666666"/>
          <w:sz w:val="18"/>
        </w:rPr>
        <w:t>Huang H et al.  ·  Ann Med  ·  28.09.2026  ·  PMID 42803415</w:t>
      </w:r>
    </w:p>
    <w:p>
      <w:r>
        <w:t>Retrospektive Studie mit 405 Patienten mit chronischem Koronarsyndrom zur Assoziation von BMI mit Cardiopulmonary-Exercise-Test-Parametern unter Berücksichtigung von Geschlecht.</w:t>
      </w:r>
    </w:p>
    <w:p>
      <w:r>
        <w:rPr>
          <w:b/>
        </w:rPr>
        <w:t xml:space="preserve">Ergebnis: </w:t>
      </w:r>
      <w:r>
        <w:t>Höherer BMI korreliert mit höherer absoluter Peak-VO2 (B=22,85, p&lt;0,001), aber niedrigerem Peak-VO2/kg (B=−0,214, p&lt;0,001); Effekt stärker in Männern für Peak-VO2 (B=31,71), in Frauen für Peak-VO2/kg (B=−0,242, p&lt;0,001).</w:t>
      </w:r>
    </w:p>
    <w:p>
      <w:r>
        <w:rPr>
          <w:b/>
          <w:sz w:val="19"/>
        </w:rPr>
        <w:t xml:space="preserve">Übertragbarkeit: </w:t>
      </w:r>
      <w:r>
        <w:rPr>
          <w:sz w:val="19"/>
        </w:rPr>
        <w:t>China, kardiale Funktion und Ausbelastbarkeit unabhängig vom System messbar</w:t>
      </w:r>
    </w:p>
    <w:p>
      <w:r>
        <w:rPr>
          <w:color w:val="5A7D3A"/>
          <w:sz w:val="18"/>
        </w:rPr>
        <w:t>https://pubmed.ncbi.nlm.nih.gov/42803415/</w:t>
      </w:r>
    </w:p>
    <w:p>
      <w:pPr>
        <w:pStyle w:val="Heading2"/>
      </w:pPr>
      <w:r>
        <w:t>Kardiometabolische Last bei Kinderkrebsüberlebenden nach Anthrazyklinen</w:t>
      </w:r>
    </w:p>
    <w:p>
      <w:r>
        <w:rPr>
          <w:i/>
          <w:color w:val="666666"/>
          <w:sz w:val="18"/>
        </w:rPr>
        <w:t>Viggósdóttir VH et al.  ·  J Pediatr Hematol Oncol  ·  01.10.2026  ·  PMID 42525877</w:t>
      </w:r>
    </w:p>
    <w:p>
      <w:r>
        <w:t>Querschnittsstudie mit 60 von 76 Überlebenden pädiatrischer Krebspatienten (mittleres Alter 34 Jahre), die anthrazyklinhaltiger Chemotherapie ausgesetzt waren, zur LV-Funktion und Metabolisches-Syndrom-Prävalenz.</w:t>
      </w:r>
    </w:p>
    <w:p>
      <w:r>
        <w:rPr>
          <w:b/>
        </w:rPr>
        <w:t xml:space="preserve">Ergebnis: </w:t>
      </w:r>
      <w:r>
        <w:t>25% zeigten linksventrikuläre Dilatation (meist mild–moderat); metabolisches Syndrom in 20%; aber nur 10% waren sich bewusst, dass Krebstherapie Kardiomyopathie verursachen kann; nur ~50% hatten Echokardiografie in der letzten Dekade erhalten.</w:t>
      </w:r>
    </w:p>
    <w:p>
      <w:r>
        <w:rPr>
          <w:b/>
          <w:sz w:val="19"/>
        </w:rPr>
        <w:t xml:space="preserve">Übertragbarkeit: </w:t>
      </w:r>
      <w:r>
        <w:rPr>
          <w:sz w:val="19"/>
        </w:rPr>
        <w:t>Island, europäisches System, Übertragbar für strukturierte Langzeit-Nachsorge und Awareness-Kampagnen</w:t>
      </w:r>
    </w:p>
    <w:p>
      <w:r>
        <w:rPr>
          <w:color w:val="5A7D3A"/>
          <w:sz w:val="18"/>
        </w:rPr>
        <w:t>https://pubmed.ncbi.nlm.nih.gov/42525877/</w:t>
      </w:r>
    </w:p>
    <w:p>
      <w:pPr>
        <w:pStyle w:val="Heading2"/>
      </w:pPr>
      <w:r>
        <w:t>Mikrobiota-GABA-Mangel bei Adipositas fördert Darmkrebsprogression</w:t>
      </w:r>
    </w:p>
    <w:p>
      <w:r>
        <w:rPr>
          <w:i/>
          <w:color w:val="666666"/>
          <w:sz w:val="18"/>
        </w:rPr>
        <w:t>Guo W et al.  ·  Nat Commun  ·  27.07.2026  ·  PMID 42503520</w:t>
      </w:r>
    </w:p>
    <w:p>
      <w:r>
        <w:t>Mechanistische Studie mit genetischen Mausmodellen und Biomarker-Analysen bei Menschen mit Adipositas zur Rolle der GABA-produzierenden Bakterie Bacteroides ovatus in der Tumorsuppression.</w:t>
      </w:r>
    </w:p>
    <w:p>
      <w:r>
        <w:rPr>
          <w:b/>
        </w:rPr>
        <w:t xml:space="preserve">Ergebnis: </w:t>
      </w:r>
      <w:r>
        <w:t>Hochfett-Diät und Adipositas-assoziierte Dysbiose reduzierten B. ovatus und fäkale GABA um etwa 50%; GABA-Supplementierung oder Rekolonisation mit wildtypischen Bakterien reduzierten Tumorbürde deutlich – eine mikrobiota-vermittelte Prävention.</w:t>
      </w:r>
    </w:p>
    <w:p>
      <w:r>
        <w:rPr>
          <w:b/>
          <w:sz w:val="19"/>
        </w:rPr>
        <w:t xml:space="preserve">Übertragbarkeit: </w:t>
      </w:r>
      <w:r>
        <w:rPr>
          <w:sz w:val="19"/>
        </w:rPr>
        <w:t>Grundlageneinsicht, Präventionspotenzial für Populationen mit Adipositas noch in Translation</w:t>
      </w:r>
    </w:p>
    <w:p>
      <w:r>
        <w:rPr>
          <w:color w:val="5A7D3A"/>
          <w:sz w:val="18"/>
        </w:rPr>
        <w:t>https://pubmed.ncbi.nlm.nih.gov/42503520/</w:t>
      </w:r>
    </w:p>
    <w:p>
      <w:pPr>
        <w:pStyle w:val="Heading1"/>
      </w:pPr>
      <w:r>
        <w:t>Aufgenommen am 29.09.2026</w:t>
      </w:r>
    </w:p>
    <w:p>
      <w:pPr>
        <w:pStyle w:val="Heading2"/>
      </w:pPr>
      <w:r>
        <w:t>Frühdiagnose und regelmäßige Nachsorge senken Sterblichkeit bei Adipositas-Hypoventilations-Syndrom</w:t>
      </w:r>
    </w:p>
    <w:p>
      <w:r>
        <w:rPr>
          <w:i/>
          <w:color w:val="666666"/>
          <w:sz w:val="18"/>
        </w:rPr>
        <w:t>Agossou M et al.  ·  BMJ Open Respir Res  ·  28.09.2026  ·  PMID 42805766</w:t>
      </w:r>
    </w:p>
    <w:p>
      <w:r>
        <w:t>Bei 167 Patienten mit Adipositas-Hypoventilations-Syndrom (OHS) in Martinique wurden Risikofaktoren für Sterblichkeit und der Einfluss der Versorgungskontinuität untersucht.</w:t>
      </w:r>
    </w:p>
    <w:p>
      <w:r>
        <w:rPr>
          <w:b/>
        </w:rPr>
        <w:t xml:space="preserve">Ergebnis: </w:t>
      </w:r>
      <w:r>
        <w:t>5-Jahres-Sterblichkeit: 12,6 %, Gesamtsterblichkeit (n=44, 26,4 %). Unabhängige Mortalitätsprädiktoren: OHS-Diagnose bei akutem Atemversagen (HR 6,60; 95%-KI 1,50–29,10), unregelmäßige Nachsorge (HR 5,00; 2,82–14,29), Herzerkrankung (HR 3,63; 1,51–8,70), niedriger Hämatokrit (HR 1,12 pro Punkt; 1,03–1,22) und höheres Alter (HR 1,04 pro Jahr; 1,01–1,08). Schlussfolgerung: Strukturierte Früherkennung und kontinuierliche ärztliche Betreuung sind entscheidend für die Reduktion von OHS-Mortalität.</w:t>
      </w:r>
    </w:p>
    <w:p>
      <w:r>
        <w:rPr>
          <w:b/>
          <w:sz w:val="19"/>
        </w:rPr>
        <w:t xml:space="preserve">Übertragbarkeit: </w:t>
      </w:r>
      <w:r>
        <w:rPr>
          <w:sz w:val="19"/>
        </w:rPr>
        <w:t>Französische Karibik, übertragbare Nachsorge-Struktur auf europäische Systeme</w:t>
      </w:r>
    </w:p>
    <w:p>
      <w:r>
        <w:rPr>
          <w:color w:val="5A7D3A"/>
          <w:sz w:val="18"/>
        </w:rPr>
        <w:t>https://pubmed.ncbi.nlm.nih.gov/42805766/</w:t>
      </w:r>
    </w:p>
    <w:p>
      <w:pPr>
        <w:pStyle w:val="Heading2"/>
      </w:pPr>
      <w:r>
        <w:t>Strukturierte Gewichtsreduktion verminderte Abbruchquote bei Brustkrebsrisiko</w:t>
      </w:r>
    </w:p>
    <w:p>
      <w:r>
        <w:rPr>
          <w:i/>
          <w:color w:val="666666"/>
          <w:sz w:val="18"/>
        </w:rPr>
        <w:t>Clarke H et al.  ·  BMJ Open  ·  28.09.2026  ·  PMID 42805663</w:t>
      </w:r>
    </w:p>
    <w:p>
      <w:r>
        <w:t>79 % der 47 Frauen mit Adipositas und erhöhtem Brust- oder Endometriumkrebsrisiko schlossen ein 12-Monate Programm mit Totaldiäternährung (TDR) ab und zeigten messbare Gewichtsverluste und Lebensqualitätsgewinne.</w:t>
      </w:r>
    </w:p>
    <w:p>
      <w:r>
        <w:rPr>
          <w:b/>
        </w:rPr>
        <w:t xml:space="preserve">Ergebnis: </w:t>
      </w:r>
      <w:r>
        <w:t>37 von 47 Frauen (79 %) vollendeten das Programm. Gewichtsverlust betrug –10,8 kg nach 3 Monaten, –11,5 kg nach 6 Monaten und –8,4 kg nach 12 Monaten. Lebensqualität (OWL-QOL) verbesserte sich um –24,8 Punkte, Binge-Eating-Scores sanken um –4 Punkte. Mittlere Kontakte mit Diätassistentinnen: 28 pro Person über 12 Monate. 68 % erhielten psychologische Unterstützung. Zusammenfassung: TDR ermöglichte hohe Therapietreue und dauerhafte Gewichtsabnahme unter intensiver Betreuung.</w:t>
      </w:r>
    </w:p>
    <w:p>
      <w:r>
        <w:rPr>
          <w:b/>
          <w:sz w:val="19"/>
        </w:rPr>
        <w:t xml:space="preserve">Übertragbarkeit: </w:t>
      </w:r>
      <w:r>
        <w:rPr>
          <w:sz w:val="19"/>
        </w:rPr>
        <w:t>UK-Sekundärversorgung, hohe Ressourcenintensität, vergleichbar mit deutschen Zentren</w:t>
      </w:r>
    </w:p>
    <w:p>
      <w:r>
        <w:rPr>
          <w:color w:val="5A7D3A"/>
          <w:sz w:val="18"/>
        </w:rPr>
        <w:t>https://pubmed.ncbi.nlm.nih.gov/42805663/</w:t>
      </w:r>
    </w:p>
    <w:p>
      <w:pPr>
        <w:pStyle w:val="Heading2"/>
      </w:pPr>
      <w:r>
        <w:t>Peer-Empfehlungen verbessern Therapietreue in digitaler Gewichtsreduktion mit Tirzepatid</w:t>
      </w:r>
    </w:p>
    <w:p>
      <w:r>
        <w:rPr>
          <w:i/>
          <w:color w:val="666666"/>
          <w:sz w:val="18"/>
        </w:rPr>
        <w:t>Talay L et al.  ·  J Med Internet Res  ·  28.09.2026  ·  PMID 42804756</w:t>
      </w:r>
    </w:p>
    <w:p>
      <w:r>
        <w:t>Retrospektive Kohortenanalyse von 34.449 erwachsenen Nutzern eines unsubventionierten, tirzepatid-gestützten digitalen Gewichtsreduktions-Services in Australien verglich Ergebnisse nach Empfehlungsweg.</w:t>
      </w:r>
    </w:p>
    <w:p>
      <w:r>
        <w:rPr>
          <w:b/>
        </w:rPr>
        <w:t xml:space="preserve">Ergebnis: </w:t>
      </w:r>
      <w:r>
        <w:t>Patienten mit Peer-Empfehlung zeigten höhere 6-Monats-Therapietreue und größeren Prozentsatz-Gewichtsverlust als propensity-score-gematchte Nicht-Empfehlung-Patienten. Schlussfolgerung: Peer-Referral-Wege unterstützen Verbleib und Effektivität in medikamentöser Adipositasbehandlung. Begrenzte Zahlenangaben im Abstract; Hauptbefund ist Adhärenz-Vorteil.</w:t>
      </w:r>
    </w:p>
    <w:p>
      <w:r>
        <w:rPr>
          <w:b/>
          <w:sz w:val="19"/>
        </w:rPr>
        <w:t xml:space="preserve">Übertragbarkeit: </w:t>
      </w:r>
      <w:r>
        <w:rPr>
          <w:sz w:val="19"/>
        </w:rPr>
        <w:t>Australien, Privatversicherungs-Modell, Tirzepatid ist in Australien erstattet – in Deutschland nicht</w:t>
      </w:r>
    </w:p>
    <w:p>
      <w:r>
        <w:rPr>
          <w:color w:val="5A7D3A"/>
          <w:sz w:val="18"/>
        </w:rPr>
        <w:t>https://pubmed.ncbi.nlm.nih.gov/42804756/</w:t>
      </w:r>
    </w:p>
    <w:p>
      <w:pPr>
        <w:pStyle w:val="Heading2"/>
      </w:pPr>
      <w:r>
        <w:t>Adipositas in Südasien steigt steil – Wohlhabendere Frauen am stärksten betroffen</w:t>
      </w:r>
    </w:p>
    <w:p>
      <w:r>
        <w:rPr>
          <w:i/>
          <w:color w:val="666666"/>
          <w:sz w:val="18"/>
        </w:rPr>
        <w:t>Hendry M et al.  ·  Glob Health Action  ·  31.12.2026  ·  PMID 42802930</w:t>
      </w:r>
    </w:p>
    <w:p>
      <w:r>
        <w:t>Analyse von Bevölkerungsumfragen aus fünf südasiatischen Ländern (2000–2022, 1,56 Mio. Frauen 15–49 Jahre) zeigte stark ansteigende Adipositasprävalenzen mit besonderem Anstieg in urbanen, wohlhabenderen Bevölkerungsgruppen.</w:t>
      </w:r>
    </w:p>
    <w:p>
      <w:r>
        <w:rPr>
          <w:b/>
        </w:rPr>
        <w:t xml:space="preserve">Ergebnis: </w:t>
      </w:r>
      <w:r>
        <w:t>Adipositas-Prävalenz stieg in allen Ländern außer den Malediven, mit Spannweite von 5 % bis 37 %. Stärkster Anstieg in urbanen Gebieten (z. B. Bangladesch: 13 % auf 46 %), bei Wohlhabenden (Nepal 23 % bis Pakistan 73 %) und bei weniger gebildeten Frauen. Schlussfolgerung: Epidemiologischer Wandel zu steigender Adipositas bei Frauen im reproduktiven Alter zeigt asymmetrische soziale Verteilung.</w:t>
      </w:r>
    </w:p>
    <w:p>
      <w:r>
        <w:rPr>
          <w:b/>
          <w:sz w:val="19"/>
        </w:rPr>
        <w:t xml:space="preserve">Übertragbarkeit: </w:t>
      </w:r>
      <w:r>
        <w:rPr>
          <w:sz w:val="19"/>
        </w:rPr>
        <w:t>Niederlande, Belgien, Frankreich haben ähnliche Ungleichheits-Mechanismen</w:t>
      </w:r>
    </w:p>
    <w:p>
      <w:r>
        <w:rPr>
          <w:color w:val="5A7D3A"/>
          <w:sz w:val="18"/>
        </w:rPr>
        <w:t>https://pubmed.ncbi.nlm.nih.gov/42802930/</w:t>
      </w:r>
    </w:p>
    <w:p>
      <w:pPr>
        <w:pStyle w:val="Heading2"/>
      </w:pPr>
      <w:r>
        <w:t>Massive Wissenslücken und implizite Weight Bias bei vietnamesischen Gesundheitsarbeitern</w:t>
      </w:r>
    </w:p>
    <w:p>
      <w:r>
        <w:rPr>
          <w:i/>
          <w:color w:val="666666"/>
          <w:sz w:val="18"/>
        </w:rPr>
        <w:t>Tran TDM  ·  J ASEAN Fed Endocr Soc  ·  12.08.2026  ·  PMID 42802762</w:t>
      </w:r>
    </w:p>
    <w:p>
      <w:r>
        <w:t>Befragung von 232 Gesundheitsarbeitern zu Wissen, Einstellungen und Praxis bei der Adipositasbehandlung identifizierte erhebliche Defizite und Stigmatisierung.</w:t>
      </w:r>
    </w:p>
    <w:p>
      <w:r>
        <w:rPr>
          <w:b/>
        </w:rPr>
        <w:t xml:space="preserve">Ergebnis: </w:t>
      </w:r>
      <w:r>
        <w:t>Nur 63,8 % (95%-KI 57,3–70,3 %) erkannten Adipositas als chronische Erkrankung. Weniger als die Hälfte kannten zugelassene Pharmakotherapien. 79,7 % (75,0–84,9 %) führten Gewichtsverlust primär auf Patientenverantwortung zurück, was auf implizite Weight Bias hindeutet. Ärzte zeigten signifikant höhere Odds für unzureichende Gewichtsmanagement-Kenntnisse als sonstiges Personal (OR 4,5; 95%-KI 2,1–9,5). Ergebnis: Systematische Schulungsdefizite und Stigma blockieren eine patientengerechte Adipositasversorgung.</w:t>
      </w:r>
    </w:p>
    <w:p>
      <w:r>
        <w:rPr>
          <w:b/>
          <w:sz w:val="19"/>
        </w:rPr>
        <w:t xml:space="preserve">Übertragbarkeit: </w:t>
      </w:r>
      <w:r>
        <w:rPr>
          <w:sz w:val="19"/>
        </w:rPr>
        <w:t>Vietnam, aber Befunde zur Wissenslücke relevant für Systeme ohne spezialisierte Schulung</w:t>
      </w:r>
    </w:p>
    <w:p>
      <w:r>
        <w:rPr>
          <w:color w:val="5A7D3A"/>
          <w:sz w:val="18"/>
        </w:rPr>
        <w:t>https://pubmed.ncbi.nlm.nih.gov/42802762/</w:t>
      </w:r>
    </w:p>
    <w:p>
      <w:pPr>
        <w:pStyle w:val="Heading2"/>
      </w:pPr>
      <w:r>
        <w:t>Gewichtsverlust trotz Ernährungssupport prognostiziert schlechte Ergebnisse nach Chemoradiotherapie</w:t>
      </w:r>
    </w:p>
    <w:p>
      <w:r>
        <w:rPr>
          <w:i/>
          <w:color w:val="666666"/>
          <w:sz w:val="18"/>
        </w:rPr>
        <w:t>Inamochi Y et al.  ·  Support Care Cancer  ·  28.09.2026  ·  PMID 42802279</w:t>
      </w:r>
    </w:p>
    <w:p>
      <w:r>
        <w:t>Retrospektive Studie an 105 Patienten mit fortgeschrittenem Kopf-Hals-Tumor zeigte, dass Gewichtsverlust ≥5 % zwischen Operation und Chemoradiotherapie trotz Ernährungsinterventionen ein unabhängiger Mortalitätsprädiktor war.</w:t>
      </w:r>
    </w:p>
    <w:p>
      <w:r>
        <w:rPr>
          <w:b/>
        </w:rPr>
        <w:t xml:space="preserve">Ergebnis: </w:t>
      </w:r>
      <w:r>
        <w:t>Medianer Gewichtsverlust vor Chemoradiotherapie: 4,8 %, gesamt: 7,9 %. Patienten mit Rezidiv: 6,1 % vs. ohne Rezidiv: 4,0 % (p=0,004). Patienten mit ≥5 % Gewichtsverlust vor Therapie hatten signifikant schlechtere rezidivfreie Überlebenszeit (log-rank p=0,001) und Gesamtüberleben (p&lt;0,001). In multivariater Analyse: ≥5 % Gewichtsverlust unabhängig mit schlechterem Überleben assoziiert (HR 2,54; 95%-KI 1,35–4,80). Grad ≥3 Nebenwirkungen: 81,8 % vs. 86,0 % (nicht signifikant). Schlussfolgerung: Prätherapeutischer Gewichtsverlust ist einfach messbarer prognostischer Marker.</w:t>
      </w:r>
    </w:p>
    <w:p>
      <w:r>
        <w:rPr>
          <w:b/>
          <w:sz w:val="19"/>
        </w:rPr>
        <w:t xml:space="preserve">Übertragbarkeit: </w:t>
      </w:r>
      <w:r>
        <w:rPr>
          <w:sz w:val="19"/>
        </w:rPr>
        <w:t>Japanische Klinikdaten zu Onkologie-Nachsorge, strukturelle Parallelen in DACH</w:t>
      </w:r>
    </w:p>
    <w:p>
      <w:r>
        <w:rPr>
          <w:color w:val="5A7D3A"/>
          <w:sz w:val="18"/>
        </w:rPr>
        <w:t>https://pubmed.ncbi.nlm.nih.gov/42802279/</w:t>
      </w:r>
    </w:p>
    <w:p>
      <w:pPr>
        <w:pStyle w:val="Heading1"/>
      </w:pPr>
      <w:r>
        <w:t>Aufgenommen am 28.09.2026</w:t>
      </w:r>
    </w:p>
    <w:p>
      <w:pPr>
        <w:pStyle w:val="Heading2"/>
      </w:pPr>
      <w:r>
        <w:t>Teleintervention-Nachsorge stabilisierte Gewicht und Lebensqualität nach Kindheitsadipositasbehandlung</w:t>
      </w:r>
    </w:p>
    <w:p>
      <w:r>
        <w:rPr>
          <w:i/>
          <w:color w:val="666666"/>
          <w:sz w:val="18"/>
        </w:rPr>
        <w:t>Wittmann A et al.  ·  Pediatr Obes  ·  Okt. 2026  ·  PMID 42802014</w:t>
      </w:r>
    </w:p>
    <w:p>
      <w:r>
        <w:t>Systematische Übersicht von Studien zu Teleintervention-Nachsorgeprogrammen für Kinder und Jugendliche nach strukturierter Adipositasbehandlung mit Fokus auf Lebensstiländerung und psychosoziale Ergebnisse.</w:t>
      </w:r>
    </w:p>
    <w:p>
      <w:r>
        <w:rPr>
          <w:b/>
        </w:rPr>
        <w:t xml:space="preserve">Ergebnis: </w:t>
      </w:r>
      <w:r>
        <w:t>8 Studien (6 RCTs, 2 Vorher-nachher): Teleintervention-Programme waren mit Stabilisierung des erreichten Gewichts verbunden, nicht mit zusätzlichem Gewichtsverlust. Konsistent zeigten sich Verbesserungen psychosozialer Ergebnisse, Lebensstiländerungen (z. B. Bildschirmzeit), BMI-Stabilisierung und substantielle Reduktion von Arztbesuchen und Kosten. Hohe Machbarkeit dokumentiert; menschliche Komponente kann notwendig sein.</w:t>
      </w:r>
    </w:p>
    <w:p>
      <w:r>
        <w:rPr>
          <w:b/>
          <w:sz w:val="19"/>
        </w:rPr>
        <w:t xml:space="preserve">Übertragbarkeit: </w:t>
      </w:r>
      <w:r>
        <w:rPr>
          <w:sz w:val="19"/>
        </w:rPr>
        <w:t>Deutschland, europäische Gesundheitssysteme – vergleichbare Strukturen der Adipositasbehandlung im Kindesalter.</w:t>
      </w:r>
    </w:p>
    <w:p>
      <w:r>
        <w:rPr>
          <w:color w:val="5A7D3A"/>
          <w:sz w:val="18"/>
        </w:rPr>
        <w:t>https://pubmed.ncbi.nlm.nih.gov/42802014/</w:t>
      </w:r>
    </w:p>
    <w:p>
      <w:pPr>
        <w:pStyle w:val="Heading2"/>
      </w:pPr>
      <w:r>
        <w:t>Psychosoziale Belastung in der Schwangerschaft prägte Übergewicht im Kleinkindalter</w:t>
      </w:r>
    </w:p>
    <w:p>
      <w:r>
        <w:rPr>
          <w:i/>
          <w:color w:val="666666"/>
          <w:sz w:val="18"/>
        </w:rPr>
        <w:t>Kim CN et al.  ·  Pediatr Obes  ·  Okt. 2026  ·  PMID 42802012</w:t>
      </w:r>
    </w:p>
    <w:p>
      <w:r>
        <w:t>Sekundäranalyse von 533 Schwangeren aus hispanischen Familien mit nierigem Einkommen; latente Klassenanalyse identifizierte Schwangerengruppen nach Stressoren und materialen Schwierigkeiten; Assoziation mit Kindgewicht im Alter von 2 Jahren.</w:t>
      </w:r>
    </w:p>
    <w:p>
      <w:r>
        <w:rPr>
          <w:b/>
        </w:rPr>
        <w:t xml:space="preserve">Ergebnis: </w:t>
      </w:r>
      <w:r>
        <w:t>Drei identifizierte Gruppen: Nicht-US-geboren/weniger Stressoren (51 %), Nicht-US-geboren/mehr Stressoren (25 %), US-geboren/weniger Stressoren (24 %). Kinder von Müttern mit höheren Stressoren hatten höhere Gewicht-für-Alter-z-Scores (Mdiff = 0,61, p = 0,003) und höhere Quote von Übergewicht/Adipositas (aOR = 2,83, p = 0,007) als Vergleichsgruppen. Psychosoziale Stressoren und materiale Schwierigkeiten in der Schwangerschaft sind Risikofaktoren.</w:t>
      </w:r>
    </w:p>
    <w:p>
      <w:r>
        <w:rPr>
          <w:b/>
          <w:sz w:val="19"/>
        </w:rPr>
        <w:t xml:space="preserve">Übertragbarkeit: </w:t>
      </w:r>
      <w:r>
        <w:rPr>
          <w:sz w:val="19"/>
        </w:rPr>
        <w:t>USA, begrenzte Übertragbarkeit – aber psychosoziale Mechanismen relevant für deutschsprachigen Raum.</w:t>
      </w:r>
    </w:p>
    <w:p>
      <w:r>
        <w:rPr>
          <w:color w:val="5A7D3A"/>
          <w:sz w:val="18"/>
        </w:rPr>
        <w:t>https://pubmed.ncbi.nlm.nih.gov/42802012/</w:t>
      </w:r>
    </w:p>
    <w:p>
      <w:pPr>
        <w:pStyle w:val="Heading2"/>
      </w:pPr>
      <w:r>
        <w:t>Mittelmeerdiät senkte Übergewichtsrisiko im Kindesalter um 0,42 kg/m²</w:t>
      </w:r>
    </w:p>
    <w:p>
      <w:r>
        <w:rPr>
          <w:i/>
          <w:color w:val="666666"/>
          <w:sz w:val="18"/>
        </w:rPr>
        <w:t>Gholami Shahrbabak M et al.  ·  Pediatr Obes  ·  Okt. 2026  ·  PMID 42802010</w:t>
      </w:r>
    </w:p>
    <w:p>
      <w:r>
        <w:t>Meta-Analyse von 23 Kohortenstudien (26 Studien) zu Mittelmeerdiät-Adhärenz und Übergewicht/Adipositas bei Kindern und Jugendlichen bis Oktober 2025.</w:t>
      </w:r>
    </w:p>
    <w:p>
      <w:r>
        <w:rPr>
          <w:b/>
        </w:rPr>
        <w:t xml:space="preserve">Ergebnis: </w:t>
      </w:r>
      <w:r>
        <w:t>BMI in Kindern mit höherer Mittelmeerdiät-Adhärenz war signifikant niedriger (gewichtetes Mittelwertdifferenz –0,42 kg/m², 95%-KI –0,61 bis –0,23, p &lt; 0,001). Kinder mit Übergewicht zeigten niedrigere Adhärenz-Scores als Normalgewichtige (–0,44 Punkte, p &lt; 0,001). Heterogenität substantiell, Evidenz ausschließlich querschnittlich.</w:t>
      </w:r>
    </w:p>
    <w:p>
      <w:r>
        <w:rPr>
          <w:b/>
          <w:sz w:val="19"/>
        </w:rPr>
        <w:t xml:space="preserve">Übertragbarkeit: </w:t>
      </w:r>
      <w:r>
        <w:rPr>
          <w:sz w:val="19"/>
        </w:rPr>
        <w:t>Südeuropa, Mittelmeerraum – aber Ergebnis unabhängig von Gesundheitssystem übertragbar; Basis für Präventionsempfehlungen.</w:t>
      </w:r>
    </w:p>
    <w:p>
      <w:r>
        <w:rPr>
          <w:color w:val="5A7D3A"/>
          <w:sz w:val="18"/>
        </w:rPr>
        <w:t>https://pubmed.ncbi.nlm.nih.gov/42802010/</w:t>
      </w:r>
    </w:p>
    <w:p>
      <w:pPr>
        <w:pStyle w:val="Heading2"/>
      </w:pPr>
      <w:r>
        <w:t>Ethnische Segregation und Schulumgebung prägen Adipositasunterschiede im Kindesalter</w:t>
      </w:r>
    </w:p>
    <w:p>
      <w:r>
        <w:rPr>
          <w:i/>
          <w:color w:val="666666"/>
          <w:sz w:val="18"/>
        </w:rPr>
        <w:t>Miller S et al.  ·  Pediatr Obes  ·  Okt. 2026  ·  PMID 42802009</w:t>
      </w:r>
    </w:p>
    <w:p>
      <w:r>
        <w:t>Beobachtungsstudie mit Daten von kalifornischen Schulkindern 2018/2019; Analyse, wie ethnische Disparitäten in Übergewicht/Adipositas nach Ethnische Zusammensetzung der Schule und Armutsstatus des Schulviertels variieren.</w:t>
      </w:r>
    </w:p>
    <w:p>
      <w:r>
        <w:rPr>
          <w:b/>
        </w:rPr>
        <w:t xml:space="preserve">Ergebnis: </w:t>
      </w:r>
      <w:r>
        <w:t>Disparitäten zwischen Schwarzen, lateinamerikanischen und weißen Kindern variierten stark nach Schulkontext. In integrierten niedrig-income-Schulen waren Black vs. White-Disparitäten 3 Prozentpunkte, in segregierten high-income-Schulen 22 Prozentpunkte. Größte Disparität zwischen Minderheitskindern in segregierten Schulen gegen weiße Kinder in segregierten reichen Schulen (23-28 Prozentpunkte).</w:t>
      </w:r>
    </w:p>
    <w:p>
      <w:r>
        <w:rPr>
          <w:b/>
          <w:sz w:val="19"/>
        </w:rPr>
        <w:t xml:space="preserve">Übertragbarkeit: </w:t>
      </w:r>
      <w:r>
        <w:rPr>
          <w:sz w:val="19"/>
        </w:rPr>
        <w:t>USA, kalifornischer Kontext – aber Befund zu Segregation und Armut relevant für deutsche Stadt-Land-Disparitäten.</w:t>
      </w:r>
    </w:p>
    <w:p>
      <w:r>
        <w:rPr>
          <w:color w:val="5A7D3A"/>
          <w:sz w:val="18"/>
        </w:rPr>
        <w:t>https://pubmed.ncbi.nlm.nih.gov/42802009/</w:t>
      </w:r>
    </w:p>
    <w:p>
      <w:pPr>
        <w:pStyle w:val="Heading2"/>
      </w:pPr>
      <w:r>
        <w:t>Ernährungsqualität und Gestationsgewichtszunahme in australischen Ureinwohner-Schwangerschaften</w:t>
      </w:r>
    </w:p>
    <w:p>
      <w:r>
        <w:rPr>
          <w:i/>
          <w:color w:val="666666"/>
          <w:sz w:val="18"/>
        </w:rPr>
        <w:t>Jiménez-Flores E et al.  ·  Nutrients  ·  20.09.2026  ·  PMID 42797057</w:t>
      </w:r>
    </w:p>
    <w:p>
      <w:r>
        <w:t>Querschnittsanalyse von Schwangeren (n = 52, Zielgruppe: Aborigines und Torres-Strait-Islander) aus zwei australischen Kliniken; Australian Recommended Food Score (ARFS) bei Aufnahme und Ernährungsunterstützungs-Engagement.</w:t>
      </w:r>
    </w:p>
    <w:p>
      <w:r>
        <w:rPr>
          <w:b/>
        </w:rPr>
        <w:t xml:space="preserve">Ergebnis: </w:t>
      </w:r>
      <w:r>
        <w:t>Medianer ARFS 39 von 73. Frauen &gt; 25 Jahre hatten höhere ARFS (β = 3,28, p = 0,027). Fruchtkonsum stieg bis späte Schwangerschaft (McNemar p = 0,004). Hoher Konsum energiedichter Getränke/Snacks (60-68 %). Von 52 Frauen: 15,4 % normale Gewichtszunahme, 57,7 % übermäßig. In hochem Ernährungsunterstützungs-Engagement: 24,0 % vs. 7,4 % normales Gewicht (p ≤ 0,001).</w:t>
      </w:r>
    </w:p>
    <w:p>
      <w:r>
        <w:rPr>
          <w:b/>
          <w:sz w:val="19"/>
        </w:rPr>
        <w:t xml:space="preserve">Übertragbarkeit: </w:t>
      </w:r>
      <w:r>
        <w:rPr>
          <w:sz w:val="19"/>
        </w:rPr>
        <w:t>Australien, vergleichbar mit DACH-Systemen – aber indigene Bevölkerung, kulturelle Faktoren relevant für Übertragbarkeit.</w:t>
      </w:r>
    </w:p>
    <w:p>
      <w:r>
        <w:rPr>
          <w:color w:val="5A7D3A"/>
          <w:sz w:val="18"/>
        </w:rPr>
        <w:t>https://pubmed.ncbi.nlm.nih.gov/42797057/</w:t>
      </w:r>
    </w:p>
    <w:p>
      <w:pPr>
        <w:pStyle w:val="Heading2"/>
      </w:pPr>
      <w:r>
        <w:t>Edmonton- und Lancet-Klassifikation unterscheiden Adipositasschweregrad unterschiedlich</w:t>
      </w:r>
    </w:p>
    <w:p>
      <w:r>
        <w:rPr>
          <w:i/>
          <w:color w:val="666666"/>
          <w:sz w:val="18"/>
        </w:rPr>
        <w:t>Hagemann T et al.  ·  Obesity (Silver Spring)  ·  01.09.2026  ·  PMID 42680509</w:t>
      </w:r>
    </w:p>
    <w:p>
      <w:r>
        <w:t>Vergleich zweier Klassifikationssysteme (Edmonton Obesity Staging System und Lancet Diagnostic Model for Obesity) angewandt auf UK-Biobank-Daten (N ≈ 411.000) zur Beurteilung von Adipositasschweregrad.</w:t>
      </w:r>
    </w:p>
    <w:p>
      <w:r>
        <w:rPr>
          <w:b/>
        </w:rPr>
        <w:t xml:space="preserve">Ergebnis: </w:t>
      </w:r>
      <w:r>
        <w:t>Etwa ein Viertel in beiden Systemen als adipös klassifiziert; hohe Konkordanz bei fortgeschrittener Erkrankung. Unterschiede in Frühstadien: Lancet-Modell erfasste mildere subklinische Organdysfunktion breiter, Edmonton betonte fortgeschrittene Manifestationen. ~50 % reklassifiziert wenn BMI mit Fettverteilungsmaßen kombiniert. Systeme ergänzen sich conceptuell.</w:t>
      </w:r>
    </w:p>
    <w:p>
      <w:r>
        <w:rPr>
          <w:b/>
          <w:sz w:val="19"/>
        </w:rPr>
        <w:t xml:space="preserve">Übertragbarkeit: </w:t>
      </w:r>
      <w:r>
        <w:rPr>
          <w:sz w:val="19"/>
        </w:rPr>
        <w:t>UK-Biobank-Daten, übertragbare Methodologie – aber Klassifikation hängt von Anerkennung und Kodierung ab.</w:t>
      </w:r>
    </w:p>
    <w:p>
      <w:r>
        <w:rPr>
          <w:color w:val="5A7D3A"/>
          <w:sz w:val="18"/>
        </w:rPr>
        <w:t>https://pubmed.ncbi.nlm.nih.gov/42680509/</w:t>
      </w:r>
    </w:p>
    <w:p>
      <w:pPr>
        <w:pStyle w:val="Heading1"/>
      </w:pPr>
      <w:r>
        <w:t>Aufgenommen am 27.09.2026</w:t>
      </w:r>
    </w:p>
    <w:p>
      <w:pPr>
        <w:pStyle w:val="Heading2"/>
      </w:pPr>
      <w:r>
        <w:t>Ernährungsverhalten vermittelt Erfolg von Adipositas-Intervention bei Kindern: Analyse der DECIDE-Studie</w:t>
      </w:r>
    </w:p>
    <w:p>
      <w:r>
        <w:rPr>
          <w:i/>
          <w:color w:val="666666"/>
          <w:sz w:val="18"/>
        </w:rPr>
        <w:t>Zhang L et al.  ·  Nutrients  ·  18.09.2026  ·  PMID 42797034</w:t>
      </w:r>
    </w:p>
    <w:p>
      <w:r>
        <w:t>Cluster-randomisierte Studie mit 1.180 Kindern, die eine 9-monatige Multiplikations-Intervention erhielten (Gesundheitsbildung, Aktivitätsförderung, App-gestützte BMI-Überwachung und Umweltveränderungen in Schulen und Familien).</w:t>
      </w:r>
    </w:p>
    <w:p>
      <w:r>
        <w:rPr>
          <w:b/>
        </w:rPr>
        <w:t xml:space="preserve">Ergebnis: </w:t>
      </w:r>
      <w:r>
        <w:t>Die Intervention senkte die Gesamtkörperfettmasse um 1,003 % und erhöhte die fettfreie Masse; die Ernährungsverhalten vermittelten 16,1 % dieses Effekts, während körperliche Aktivität keine signifikante Mediatorrolle zeigte. Bildschirmzeit und moderate-intensive körperliche Aktivität zeigten keine Mediation.</w:t>
      </w:r>
    </w:p>
    <w:p>
      <w:r>
        <w:rPr>
          <w:b/>
          <w:sz w:val="19"/>
        </w:rPr>
        <w:t xml:space="preserve">Übertragbarkeit: </w:t>
      </w:r>
      <w:r>
        <w:rPr>
          <w:sz w:val="19"/>
        </w:rPr>
        <w:t>China, aber Methoden mit ähnlichen Adipositasmaßnahmen in Schulen wie in Deutschland einsetzbar</w:t>
      </w:r>
    </w:p>
    <w:p>
      <w:r>
        <w:rPr>
          <w:color w:val="5A7D3A"/>
          <w:sz w:val="18"/>
        </w:rPr>
        <w:t>https://pubmed.ncbi.nlm.nih.gov/42797034/</w:t>
      </w:r>
    </w:p>
    <w:p>
      <w:pPr>
        <w:pStyle w:val="Heading2"/>
      </w:pPr>
      <w:r>
        <w:t>Vitamin-D- und B12-Mangel erhöhen metabolisches Erkrankungsrisiko bei Adipositas: TriNetX-Studie</w:t>
      </w:r>
    </w:p>
    <w:p>
      <w:r>
        <w:rPr>
          <w:i/>
          <w:color w:val="666666"/>
          <w:sz w:val="18"/>
        </w:rPr>
        <w:t>Osorio EY et al.  ·  Nutrients  ·  14.09.2026  ·  PMID 42796988</w:t>
      </w:r>
    </w:p>
    <w:p>
      <w:r>
        <w:t>Elektronische Gesundheitsakte-Analyse an US-amerikanischen Patienten mit Adipositas und verschiedenen Mangelernährungsarten (Vitamin D, B12, Kalzium, Magnesium, Protein) und deren Assoziation mit metabolischen Folgeerkrankungen.</w:t>
      </w:r>
    </w:p>
    <w:p>
      <w:r>
        <w:rPr>
          <w:b/>
        </w:rPr>
        <w:t xml:space="preserve">Ergebnis: </w:t>
      </w:r>
      <w:r>
        <w:t>Vitamin-D-Mangel (Median-HR 3,09, IQR 2,32–5,66), B12-Mangel (Median-HR 2,49, IQR 2,16–6,08) und vorherige Untergewicht-Diagnose (Median-HR 2,23, IQR 1,76–3,98) waren mit höchstem Risiko für metabolische Erkrankungen assoziiert. Prävalenz aller Mangelzustände stieg von 2023–2025 an.</w:t>
      </w:r>
    </w:p>
    <w:p>
      <w:r>
        <w:rPr>
          <w:b/>
          <w:sz w:val="19"/>
        </w:rPr>
        <w:t xml:space="preserve">Übertragbarkeit: </w:t>
      </w:r>
      <w:r>
        <w:rPr>
          <w:sz w:val="19"/>
        </w:rPr>
        <w:t>USA-Daten, aber die Mechanismen zwischen Malnutrition und Metabolikum sind unabhängig von Versicherungssystem</w:t>
      </w:r>
    </w:p>
    <w:p>
      <w:r>
        <w:rPr>
          <w:color w:val="5A7D3A"/>
          <w:sz w:val="18"/>
        </w:rPr>
        <w:t>https://pubmed.ncbi.nlm.nih.gov/42796988/</w:t>
      </w:r>
    </w:p>
    <w:p>
      <w:pPr>
        <w:pStyle w:val="Heading2"/>
      </w:pPr>
      <w:r>
        <w:t>Aquatic Exercise verbesserte Stürz-Risiko und exekutive Funktion bei älteren Frauen mit Adipositas: 16-Wochen-Beobachtung</w:t>
      </w:r>
    </w:p>
    <w:p>
      <w:r>
        <w:rPr>
          <w:i/>
          <w:color w:val="666666"/>
          <w:sz w:val="18"/>
        </w:rPr>
        <w:t>Seo YM et al.  ·  Medicina (Kaunas)  ·  31.08.2026  ·  PMID 42796274</w:t>
      </w:r>
    </w:p>
    <w:p>
      <w:r>
        <w:t>Prospektive Beobachtungsstudie an 30 älteren Frauen mit Adipositas (15 kombiniertes Aqua-Training, 15 Kontrollgruppe), die 16 Wochen überwacht wurden.</w:t>
      </w:r>
    </w:p>
    <w:p>
      <w:r>
        <w:rPr>
          <w:b/>
        </w:rPr>
        <w:t xml:space="preserve">Ergebnis: </w:t>
      </w:r>
      <w:r>
        <w:t>Aquatic-Gruppe zeigte größere Verbesserungen in Körperzusammensetzung, Muskelkraft und Balance; exekutive Funktion verbesserte sich signifikant (p&lt;0,001). Irisin-Werte stiegen signifikant (p=0,002); keine signifikanten Unterschiede in Gehgeschwindigkeit, Ausdauer oder IL-6.</w:t>
      </w:r>
    </w:p>
    <w:p>
      <w:r>
        <w:rPr>
          <w:b/>
          <w:sz w:val="19"/>
        </w:rPr>
        <w:t xml:space="preserve">Übertragbarkeit: </w:t>
      </w:r>
      <w:r>
        <w:rPr>
          <w:sz w:val="19"/>
        </w:rPr>
        <w:t>Südkorea, aber Aquatic-Programme sind in Deutschland etabliert und übertragbar</w:t>
      </w:r>
    </w:p>
    <w:p>
      <w:r>
        <w:rPr>
          <w:color w:val="5A7D3A"/>
          <w:sz w:val="18"/>
        </w:rPr>
        <w:t>https://pubmed.ncbi.nlm.nih.gov/42796274/</w:t>
      </w:r>
    </w:p>
    <w:p>
      <w:pPr>
        <w:pStyle w:val="Heading2"/>
      </w:pPr>
      <w:r>
        <w:t>Dietetic counseling with digital tools für älter Erwachsene mit MetS-Risiko: vorwiegend Verbesserung ohne Zusatznutzen von Apps</w:t>
      </w:r>
    </w:p>
    <w:p>
      <w:r>
        <w:rPr>
          <w:i/>
          <w:color w:val="666666"/>
          <w:sz w:val="18"/>
        </w:rPr>
        <w:t>Makri R et al.  ·  Obesity (Silver Spring)  ·  18.09.2026  ·  PMID 42759999</w:t>
      </w:r>
    </w:p>
    <w:p>
      <w:r>
        <w:t>Randomisierte Studie an 984 älteren Erwachsenen (≥55 Jahre) mit Stoffwechsel-Risikofaktoren, die 3 Monate lang dietätische Beratung allein, mit Webplattform oder mit Plattform plus digitalen Geräten erhielten.</w:t>
      </w:r>
    </w:p>
    <w:p>
      <w:r>
        <w:rPr>
          <w:b/>
        </w:rPr>
        <w:t xml:space="preserve">Ergebnis: </w:t>
      </w:r>
      <w:r>
        <w:t>Taillenumfang sank in allen Gruppen (Plattform -1,38 cm, 95%-KI -2,37 bis -0,38; Plattform+Geräte -1,61 cm, 95%-KI -2,61 bis -0,60). Dietätische Beratung verbesserte Anthropometrie und metabolische Parameter; digitale Tools erhöhten die körperliche Aktivität (+55,52 MET-min/Woche, 95%-KI 15,32–95,72), brachten aber keinen zusätzlichen kurzfristigen metabolischen Nutzen.</w:t>
      </w:r>
    </w:p>
    <w:p>
      <w:r>
        <w:rPr>
          <w:b/>
          <w:sz w:val="19"/>
        </w:rPr>
        <w:t xml:space="preserve">Übertragbarkeit: </w:t>
      </w:r>
      <w:r>
        <w:rPr>
          <w:sz w:val="19"/>
        </w:rPr>
        <w:t>Griechenland, vergleichbar mit deutschem Sozialversicherungssystem für spezialisierte Ernährungsberatung</w:t>
      </w:r>
    </w:p>
    <w:p>
      <w:r>
        <w:rPr>
          <w:color w:val="5A7D3A"/>
          <w:sz w:val="18"/>
        </w:rPr>
        <w:t>https://pubmed.ncbi.nlm.nih.gov/42759999/</w:t>
      </w:r>
    </w:p>
    <w:p>
      <w:pPr>
        <w:pStyle w:val="Heading2"/>
      </w:pPr>
      <w:r>
        <w:t>Mütterlicher Obst- und Gemüseverbrauch senkt Adipositas-Risiko von 4-jährigen Kindern: ECLIPSES-Kohort</w:t>
      </w:r>
    </w:p>
    <w:p>
      <w:r>
        <w:rPr>
          <w:i/>
          <w:color w:val="666666"/>
          <w:sz w:val="18"/>
        </w:rPr>
        <w:t>Riggioni-Saborío L et al.  ·  Nutrients  ·  06.09.2026  ·  PMID 42739090</w:t>
      </w:r>
    </w:p>
    <w:p>
      <w:r>
        <w:t>Prospektive Observationsstudie an 252 Mutter-Kind-Paaren (Kohort ECLIPSES), bei der die mütterliche Ernährung in Trimestern erfasst und das Adipositas-Risiko der Kinder im Alter 4 Jahren gemessen wurde.</w:t>
      </w:r>
    </w:p>
    <w:p>
      <w:r>
        <w:rPr>
          <w:b/>
        </w:rPr>
        <w:t xml:space="preserve">Ergebnis: </w:t>
      </w:r>
      <w:r>
        <w:t>Höherer Obst- und Gemüsekonsum war mit niedrigerer Adipositas-Wahrscheinlichkeit assoziiert (OR 0,31, 95%-KI 0,13–0,74). Kommerzieller Fruchtsaft war mit erhöhter Adipositas assoziiert (OR 2,48, 95%-KI 1,06–5,78), natürlicher Saft nicht.</w:t>
      </w:r>
    </w:p>
    <w:p>
      <w:r>
        <w:rPr>
          <w:b/>
          <w:sz w:val="19"/>
        </w:rPr>
        <w:t xml:space="preserve">Übertragbarkeit: </w:t>
      </w:r>
      <w:r>
        <w:rPr>
          <w:sz w:val="19"/>
        </w:rPr>
        <w:t>Spanien (Mittelmeer-Region), aber Ernährungsempfehlungen in der Schwangerschaft sind international vergleichbar</w:t>
      </w:r>
    </w:p>
    <w:p>
      <w:r>
        <w:rPr>
          <w:color w:val="5A7D3A"/>
          <w:sz w:val="18"/>
        </w:rPr>
        <w:t>https://pubmed.ncbi.nlm.nih.gov/42739090/</w:t>
      </w:r>
    </w:p>
    <w:p>
      <w:pPr>
        <w:pStyle w:val="Heading2"/>
      </w:pPr>
      <w:r>
        <w:t>Ruhepuls ≥75 bpm als unabhängiger Marker für Insulinresistenz in der Grundversorgung</w:t>
      </w:r>
    </w:p>
    <w:p>
      <w:r>
        <w:rPr>
          <w:i/>
          <w:color w:val="666666"/>
          <w:sz w:val="18"/>
        </w:rPr>
        <w:t>Mill Ferreyra EO et al.  ·  Semergen  ·  10.09.2026  ·  PMID 42721922</w:t>
      </w:r>
    </w:p>
    <w:p>
      <w:r>
        <w:t>Querschnittsstudie an 492 Patienten in spanischen Praxen (Palafolls, Barcelona), die Ruheherzfrequenz, Körperzusammensetzung und Insulinresistenz (HOMA-IR) gemessen wurden.</w:t>
      </w:r>
    </w:p>
    <w:p>
      <w:r>
        <w:rPr>
          <w:b/>
        </w:rPr>
        <w:t xml:space="preserve">Ergebnis: </w:t>
      </w:r>
      <w:r>
        <w:t>Ruhepuls ≥75 bpm war mit höherer Adipositas, geringerer Muskelmasse und erhöhter Insulinresistenz assoziiert (OR ≈ 2,0 in allen Modellen). Hohe Muskelmasse zeigte protektiven Effekt (OR ≈ 0,4). Assoziationen blieben nach Alters- und Geschlechtsbereinigung bestehen.</w:t>
      </w:r>
    </w:p>
    <w:p>
      <w:r>
        <w:rPr>
          <w:b/>
          <w:sz w:val="19"/>
        </w:rPr>
        <w:t xml:space="preserve">Übertragbarkeit: </w:t>
      </w:r>
      <w:r>
        <w:rPr>
          <w:sz w:val="19"/>
        </w:rPr>
        <w:t>Spanien, primärärztliches Versorgungssystem vergleichbar mit Deutschland</w:t>
      </w:r>
    </w:p>
    <w:p>
      <w:r>
        <w:rPr>
          <w:color w:val="5A7D3A"/>
          <w:sz w:val="18"/>
        </w:rPr>
        <w:t>https://pubmed.ncbi.nlm.nih.gov/42721922/</w:t>
      </w:r>
    </w:p>
    <w:p>
      <w:pPr>
        <w:pStyle w:val="Heading1"/>
      </w:pPr>
      <w:r>
        <w:t>Aufgenommen am 26.09.2026</w:t>
      </w:r>
    </w:p>
    <w:p>
      <w:pPr>
        <w:pStyle w:val="Heading2"/>
      </w:pPr>
      <w:r>
        <w:t>Medicaid-Erstattung für GLP-1-Rezeptoragonisten verdoppelt Nutzung ohne Substitution von Diabetes-Präparaten</w:t>
      </w:r>
    </w:p>
    <w:p>
      <w:r>
        <w:rPr>
          <w:i/>
          <w:color w:val="666666"/>
          <w:sz w:val="18"/>
        </w:rPr>
        <w:t>Khanna R et al.  ·  JAMA Health Forum  ·  04.09.2026  ·  PMID 42789287</w:t>
      </w:r>
    </w:p>
    <w:p>
      <w:r>
        <w:t>Analyse der Auswirkungen der Medicaid-Leistung für Adipositas-GLP-1-Rezeptoragonisten auf die Gesamtnutzung zwischen 2021 und 2024 in den USA.</w:t>
      </w:r>
    </w:p>
    <w:p>
      <w:r>
        <w:rPr>
          <w:b/>
        </w:rPr>
        <w:t xml:space="preserve">Ergebnis: </w:t>
      </w:r>
      <w:r>
        <w:t>Zustände, die GLP-1-Rezeptoragonisten für Adipositas erstatteten, zeigten eine mittlere Zunahme um 6,48 Verschreibungen/1000 Versicherte (95%-KI: 4,00–8,96; p&lt;0,001). Die Gesamt-GLP-1-Nutzung nahm nicht signifikant zu (4,17 [95%-KI: −0,33 bis 8,67]; p=0,07), Diabetes-GLP-1-Nutzung sank nicht (−2,16 [95%-KI: −5,27 bis 0,96]). In Staaten mit restriktiven Prior-Authorization-Anforderungen fiel die Diabetes-GLP-1-Nutzung (−3,02 [95%-KI: −5,69 bis −0,36]; p=0,03).</w:t>
      </w:r>
    </w:p>
    <w:p>
      <w:r>
        <w:rPr>
          <w:b/>
          <w:sz w:val="19"/>
        </w:rPr>
        <w:t xml:space="preserve">Übertragbarkeit: </w:t>
      </w:r>
      <w:r>
        <w:rPr>
          <w:sz w:val="19"/>
        </w:rPr>
        <w:t>USA, aber Frage der Kostenübernahme und Durchsatzeffekte liegt dem deutschen SGB-V-Ausschluss zugrunde</w:t>
      </w:r>
    </w:p>
    <w:p>
      <w:r>
        <w:rPr>
          <w:color w:val="5A7D3A"/>
          <w:sz w:val="18"/>
        </w:rPr>
        <w:t>https://pubmed.ncbi.nlm.nih.gov/42789287/</w:t>
      </w:r>
    </w:p>
    <w:p>
      <w:pPr>
        <w:pStyle w:val="Heading2"/>
      </w:pPr>
      <w:r>
        <w:t>Hohes Geburtsgewicht bleibt mit Übergewicht im Schulalter assoziiert trotz sinkendem Trend</w:t>
      </w:r>
    </w:p>
    <w:p>
      <w:r>
        <w:rPr>
          <w:i/>
          <w:color w:val="666666"/>
          <w:sz w:val="18"/>
        </w:rPr>
        <w:t>Rossi CE et al.  ·  Sao Paulo Med J  ·  21.09.2026  ·  PMID 42788534</w:t>
      </w:r>
    </w:p>
    <w:p>
      <w:r>
        <w:t>Panel-Kohortenstudie bei 4 Querschnittserhebungen (2002–2019) in Florianópolis, Brasilien, zur Assoziation zwischen Geburtsgewicht und Übergewicht/Adipositas bei Schulkindern (7–10 Jahre).</w:t>
      </w:r>
    </w:p>
    <w:p>
      <w:r>
        <w:rPr>
          <w:b/>
        </w:rPr>
        <w:t xml:space="preserve">Ergebnis: </w:t>
      </w:r>
      <w:r>
        <w:t>Niedriges Geburtsgewicht stieg um 58,3 % von 2002 bis 2018–2019; hohes Geburtsgewicht sank um 40,7 % zwischen 2002 und 2012–2013. Hohes Geburtsgewicht war durchgängig mit Übergewicht/Adipositas assoziiert (OR = 1,63 [95%-KI: 1,32–2,00]) über alle Erhebungswellen hinweg, unabhängig von Lebensmittelzufuhr und anderen Störfaktoren.</w:t>
      </w:r>
    </w:p>
    <w:p>
      <w:r>
        <w:rPr>
          <w:b/>
          <w:sz w:val="19"/>
        </w:rPr>
        <w:t xml:space="preserve">Übertragbarkeit: </w:t>
      </w:r>
      <w:r>
        <w:rPr>
          <w:sz w:val="19"/>
        </w:rPr>
        <w:t>Südamerika, aber frühe Lebensphasenforschung und fetale Programmierung grundsätzlich übertragbar</w:t>
      </w:r>
    </w:p>
    <w:p>
      <w:r>
        <w:rPr>
          <w:color w:val="5A7D3A"/>
          <w:sz w:val="18"/>
        </w:rPr>
        <w:t>https://pubmed.ncbi.nlm.nih.gov/42788534/</w:t>
      </w:r>
    </w:p>
    <w:p>
      <w:pPr>
        <w:pStyle w:val="Heading2"/>
      </w:pPr>
      <w:r>
        <w:t>Laparoskopische Roux-en-Y-Bypass verkürzt Krankenhausverweilsdauer um 0,97 Tage gegenüber offener Chirurgie</w:t>
      </w:r>
    </w:p>
    <w:p>
      <w:r>
        <w:rPr>
          <w:i/>
          <w:color w:val="666666"/>
          <w:sz w:val="18"/>
        </w:rPr>
        <w:t>Bookobza TL et al.  ·  Arq Bras Cir Dig  ·  18.09.2026  ·  PMID 42788531</w:t>
      </w:r>
    </w:p>
    <w:p>
      <w:r>
        <w:t>Vergleichende Kohortenstudie bei Patienten mit Adipositas, die sich einem Roux-en-Y-Magenbypass entweder laparoskopisch oder offen unterzogen, zur Krankenhausverweilsdauer.</w:t>
      </w:r>
    </w:p>
    <w:p>
      <w:r>
        <w:rPr>
          <w:b/>
        </w:rPr>
        <w:t xml:space="preserve">Ergebnis: </w:t>
      </w:r>
      <w:r>
        <w:t>Patienten mit laparoskopischer Roux-en-Y-Gastroplastik blieben durchschnittlich 2,45 Tage hospitalisiert (SD=1,12), gegenüber 3,42 Tagen (SD=1,17) bei offenem Zugang (p&lt;0,05). Dies ist statistisch und klinisch signifikant und hat finanzielle Auswirkungen durch verkürzte Bettenauslastung und reduzierte Hospitalisierungskosten.</w:t>
      </w:r>
    </w:p>
    <w:p>
      <w:r>
        <w:rPr>
          <w:b/>
          <w:sz w:val="19"/>
        </w:rPr>
        <w:t xml:space="preserve">Übertragbarkeit: </w:t>
      </w:r>
      <w:r>
        <w:rPr>
          <w:sz w:val="19"/>
        </w:rPr>
        <w:t>Brasilien, aber OP-Technik und Kostenwirkung in Gesundheitssystemen vergleichbar</w:t>
      </w:r>
    </w:p>
    <w:p>
      <w:r>
        <w:rPr>
          <w:color w:val="5A7D3A"/>
          <w:sz w:val="18"/>
        </w:rPr>
        <w:t>https://pubmed.ncbi.nlm.nih.gov/42788531/</w:t>
      </w:r>
    </w:p>
    <w:p>
      <w:pPr>
        <w:pStyle w:val="Heading2"/>
      </w:pPr>
      <w:r>
        <w:t>Mahlzeiten-Auslassen verdreifacht Übergewichtsrisiko bei brasilianischen Adoleszenten</w:t>
      </w:r>
    </w:p>
    <w:p>
      <w:r>
        <w:rPr>
          <w:i/>
          <w:color w:val="666666"/>
          <w:sz w:val="18"/>
        </w:rPr>
        <w:t>Santos FBD et al.  ·  Cien Saude Colet  ·  21.09.2026  ·  PMID 42788505</w:t>
      </w:r>
    </w:p>
    <w:p>
      <w:r>
        <w:t>Querschnittstudie bei 382 Schulkindern aus öffentlichen Schulen in Rio de Janeiro zum Zusammenhang zwischen Mahlzeiten-Auslassen, Mahlzeiten-Ersetzen und Übergewicht/Adipositas.</w:t>
      </w:r>
    </w:p>
    <w:p>
      <w:r>
        <w:rPr>
          <w:b/>
        </w:rPr>
        <w:t xml:space="preserve">Ergebnis: </w:t>
      </w:r>
      <w:r>
        <w:t>Jungen, die Abendessen ausließen, hatten eine 3,13-fach höhere Wahrscheinlichkeit für Übergewicht (95%-KI: 1,06–9,21); Mädchen, die Frühstück ausließen, eine 2,20-fach höhere Wahrscheinlichkeit (95%-KI: 1,10–4,41). Keine Assoziation zwischen Ersetzen von Mahlzeiten und Übergewicht gefunden.</w:t>
      </w:r>
    </w:p>
    <w:p>
      <w:r>
        <w:rPr>
          <w:b/>
          <w:sz w:val="19"/>
        </w:rPr>
        <w:t xml:space="preserve">Übertragbarkeit: </w:t>
      </w:r>
      <w:r>
        <w:rPr>
          <w:sz w:val="19"/>
        </w:rPr>
        <w:t>Brasilien, aber Verhaltensmuster bei Adoleszenten und Mahlzeitenmuster grundsätzlich übertragbar</w:t>
      </w:r>
    </w:p>
    <w:p>
      <w:r>
        <w:rPr>
          <w:color w:val="5A7D3A"/>
          <w:sz w:val="18"/>
        </w:rPr>
        <w:t>https://pubmed.ncbi.nlm.nih.gov/42788505/</w:t>
      </w:r>
    </w:p>
    <w:p>
      <w:pPr>
        <w:pStyle w:val="Heading2"/>
      </w:pPr>
      <w:r>
        <w:t>Schulbasierte Adipositasprävention in Europa: Umsetzungshindernisse und Abdeckung in 14 Ländern</w:t>
      </w:r>
    </w:p>
    <w:p>
      <w:r>
        <w:rPr>
          <w:i/>
          <w:color w:val="666666"/>
          <w:sz w:val="18"/>
        </w:rPr>
        <w:t>Rallis I et al.  ·  Front Public Health  ·  10.09.2026  ·  PMID 42787437</w:t>
      </w:r>
    </w:p>
    <w:p>
      <w:r>
        <w:t>Analyse von Umfang, finanziellen Grenzen und Ergebnissen schulbasierter und komplementärer Adipositaspräventionsprogramme für Kinder und Jugendliche in 14 europäischen Ländern.</w:t>
      </w:r>
    </w:p>
    <w:p>
      <w:r>
        <w:rPr>
          <w:b/>
        </w:rPr>
        <w:t xml:space="preserve">Ergebnis: </w:t>
      </w:r>
      <w:r>
        <w:t>Die Hauptlimitationen bestehender Interventionsprogramme sind unzureichende Penetrationstiefe und Skalierungsprobleme; es fehlt ein strukturiertes Framework zur Bewertung dieser Policies innerhalb eines Multi-Actor-, Context-Aware-Ansatzes in Europa. Die Analyse deckt Abdeckung, finanzielle Limitationen und strukturelle sowie pädagogische Systemgrenzen auf.</w:t>
      </w:r>
    </w:p>
    <w:p>
      <w:r>
        <w:rPr>
          <w:b/>
          <w:sz w:val="19"/>
        </w:rPr>
        <w:t xml:space="preserve">Übertragbarkeit: </w:t>
      </w:r>
      <w:r>
        <w:rPr>
          <w:sz w:val="19"/>
        </w:rPr>
        <w:t>Europäische Vergleichsstudie, direkt auf deutsche Politikgestaltung anwendbar</w:t>
      </w:r>
    </w:p>
    <w:p>
      <w:r>
        <w:rPr>
          <w:color w:val="5A7D3A"/>
          <w:sz w:val="18"/>
        </w:rPr>
        <w:t>https://pubmed.ncbi.nlm.nih.gov/42787437/</w:t>
      </w:r>
    </w:p>
    <w:p>
      <w:pPr>
        <w:pStyle w:val="Heading2"/>
      </w:pPr>
      <w:r>
        <w:t>Sarkopenische Adipositas erhöht Inkontinenz-Risiko bei älteren Frauen um 80 Prozent</w:t>
      </w:r>
    </w:p>
    <w:p>
      <w:r>
        <w:rPr>
          <w:i/>
          <w:color w:val="666666"/>
          <w:sz w:val="18"/>
        </w:rPr>
        <w:t>Deveci NÖ et al.  ·  Geriatr Gerontol Int  ·  Okt. 2026  ·  PMID 42786931</w:t>
      </w:r>
    </w:p>
    <w:p>
      <w:r>
        <w:t>Querschnittstudie bei 535 Frauen ≥60 Jahren aus der Gemeinde zur Prävalenz von Urininkontinenz in Abhängigkeit von Sarcopenia und sarkopenischer Adipositas sowie Assoziationen mit anderen geriatrischen Syndromen.</w:t>
      </w:r>
    </w:p>
    <w:p>
      <w:r>
        <w:rPr>
          <w:b/>
        </w:rPr>
        <w:t xml:space="preserve">Ergebnis: </w:t>
      </w:r>
      <w:r>
        <w:t>Urininkontinenz wurde von 49,9 % berichtet. Frauen mit Inkontinenz hatten höheren BMI, häufigere Stürze, mehr Gebrechlichkeit und depressive Symptome. In multivariablen Modellen waren Sturzanamnese (adjustierte OR 2,05 [95%-KI: 1,38–3,02]), SARC-F-Score (aOR 1,12 [1,02–1,22]) und BMI-definierte sarkopenische Adipositas (aOR 1,80 [1,09–2,96]) unabhängige Prädiktoren der Urininkontinenz.</w:t>
      </w:r>
    </w:p>
    <w:p>
      <w:r>
        <w:rPr>
          <w:b/>
          <w:sz w:val="19"/>
        </w:rPr>
        <w:t xml:space="preserve">Übertragbarkeit: </w:t>
      </w:r>
      <w:r>
        <w:rPr>
          <w:sz w:val="19"/>
        </w:rPr>
        <w:t>Türkei, aber geriatrische Multimorbidität und Funktionsfähigkeit in Europa vergleichbar</w:t>
      </w:r>
    </w:p>
    <w:p>
      <w:r>
        <w:rPr>
          <w:color w:val="5A7D3A"/>
          <w:sz w:val="18"/>
        </w:rPr>
        <w:t>https://pubmed.ncbi.nlm.nih.gov/42786931/</w:t>
      </w:r>
    </w:p>
    <w:p>
      <w:pPr>
        <w:pStyle w:val="Heading1"/>
      </w:pPr>
      <w:r>
        <w:t>Aufgenommen am 25.09.2026</w:t>
      </w:r>
    </w:p>
    <w:p>
      <w:pPr>
        <w:pStyle w:val="Heading2"/>
      </w:pPr>
      <w:r>
        <w:t>Adipositas in Mexiko: Strukturelle Treiber und Grenzen gesundheitspolitischer Reformen</w:t>
      </w:r>
    </w:p>
    <w:p>
      <w:r>
        <w:rPr>
          <w:i/>
          <w:color w:val="666666"/>
          <w:sz w:val="18"/>
        </w:rPr>
        <w:t>Browner CH et al.  ·  Glob Public Health  ·  31.12.2026  ·  PMID 42784752</w:t>
      </w:r>
    </w:p>
    <w:p>
      <w:r>
        <w:t>Qualitative Analyse der Adipositas-Epidemiologie in Mexiko und ihrer Verbindung zu Folgeerkrankungen; kritische Bewertung der Healthy Republic Plan der Präsidentin Claudia Sheinbaum als politisches Reformrahmenwerk.</w:t>
      </w:r>
    </w:p>
    <w:p>
      <w:r>
        <w:rPr>
          <w:b/>
        </w:rPr>
        <w:t xml:space="preserve">Ergebnis: </w:t>
      </w:r>
      <w:r>
        <w:t>Mexiko hat eine der höchsten Adipositas-Prävalenzen weltweit (&gt;1/3 der Kinder und Jugendlichen betroffen). Die Studie identifiziert soziohistorische, politisch-ökonomische und kulturelle Faktoren als Treiber und zeigt die Grenzen sektoraler Gesundheitspolitik ohne Strukturveränderung im Lebensmittel-Umfeld und in der Arbeitsökonomie auf. Der Plan adressiert Symptome, nicht zugrundeliegende strukturelle Determinanten.</w:t>
      </w:r>
    </w:p>
    <w:p>
      <w:r>
        <w:rPr>
          <w:b/>
          <w:sz w:val="19"/>
        </w:rPr>
        <w:t xml:space="preserve">Übertragbarkeit: </w:t>
      </w:r>
      <w:r>
        <w:rPr>
          <w:sz w:val="19"/>
        </w:rPr>
        <w:t>Mexiko – Kontext grundlegend anders; relevanter Befund: Versorgungsreformen ohne Verhältnisprävention wirken begrenzt</w:t>
      </w:r>
    </w:p>
    <w:p>
      <w:r>
        <w:rPr>
          <w:color w:val="5A7D3A"/>
          <w:sz w:val="18"/>
        </w:rPr>
        <w:t>https://pubmed.ncbi.nlm.nih.gov/42784752/</w:t>
      </w:r>
    </w:p>
    <w:p>
      <w:pPr>
        <w:pStyle w:val="Heading2"/>
      </w:pPr>
      <w:r>
        <w:t>Adipositas und Cybermobbing bei Grundschülern: Deutlich erhöhtes Risiko online</w:t>
      </w:r>
    </w:p>
    <w:p>
      <w:r>
        <w:rPr>
          <w:i/>
          <w:color w:val="666666"/>
          <w:sz w:val="18"/>
        </w:rPr>
        <w:t>Büyükşahin Y et al.  ·  Front Public Health  ·  09.09.2026  ·  PMID 42780642</w:t>
      </w:r>
    </w:p>
    <w:p>
      <w:r>
        <w:t>Türkische Querschnittsstudie an 579 Grundschülern (Klassen 1–4) zur Vorhersage von Mobbingerfahrungen durch BMI-Kategorien; logistische Regression und Korrelationsanalysen.</w:t>
      </w:r>
    </w:p>
    <w:p>
      <w:r>
        <w:rPr>
          <w:b/>
        </w:rPr>
        <w:t xml:space="preserve">Ergebnis: </w:t>
      </w:r>
      <w:r>
        <w:t>Übergewicht/Adipositas versus Normalgewicht: Cybermobbing-Risiko 1,83-fach erhöht (OR 1,83, 95%-KI 1,008–3,328, p = 0,047; Permutationstest p = 0,032). Nach Adjustierung für Geschlecht und Klasse Assoziation grenzwertig signifikant (OR 1,77, p = 0,064). Korrelation BMI mit Cybermobbing ρ = 0,092, p = 0,027. Kein signifikanter Unterschied für physisches oder soziales Mobbing.</w:t>
      </w:r>
    </w:p>
    <w:p>
      <w:r>
        <w:rPr>
          <w:b/>
          <w:sz w:val="19"/>
        </w:rPr>
        <w:t xml:space="preserve">Übertragbarkeit: </w:t>
      </w:r>
      <w:r>
        <w:rPr>
          <w:sz w:val="19"/>
        </w:rPr>
        <w:t>Europäisches, nicht deutsches System; Stigma und Zugang sind universell, aber schulische Interventionen unterscheiden sich</w:t>
      </w:r>
    </w:p>
    <w:p>
      <w:r>
        <w:rPr>
          <w:color w:val="5A7D3A"/>
          <w:sz w:val="18"/>
        </w:rPr>
        <w:t>https://pubmed.ncbi.nlm.nih.gov/42780642/</w:t>
      </w:r>
    </w:p>
    <w:p>
      <w:pPr>
        <w:pStyle w:val="Heading2"/>
      </w:pPr>
      <w:r>
        <w:t>Stuhltransplantation bei adipösen Jugendlichen: Begrenzte Wirkung und Spenderabhängigkeit</w:t>
      </w:r>
    </w:p>
    <w:p>
      <w:r>
        <w:rPr>
          <w:i/>
          <w:color w:val="666666"/>
          <w:sz w:val="18"/>
        </w:rPr>
        <w:t>Jiang X et al.  ·  Front Endocrinol (Lausanne)  ·  09.09.2026  ·  PMID 42780516</w:t>
      </w:r>
    </w:p>
    <w:p>
      <w:r>
        <w:t>Längzeitkohorte über 182 Tage an adipösen Jugendlichen (378 Proben), die Stuhltransplantation (FMT) erhielten; metagenomische Sequenzierung zur Messung der Ökosystemveränderung.</w:t>
      </w:r>
    </w:p>
    <w:p>
      <w:r>
        <w:rPr>
          <w:b/>
        </w:rPr>
        <w:t xml:space="preserve">Ergebnis: </w:t>
      </w:r>
      <w:r>
        <w:t>FMT führte nur zu transienten Verschiebungen der Gemeinschaftsstruktur. Begrenzte Spenderstamm-Besiedlung, starke Resilienz der Empfänger-Kerntaxa. Bakterien primäre Responder, Viren kurzfristig gestört, Netzwerk-Wiederherstellung partiell und spenderabhängig. Keine anhaltenden ökologischen Effekte.</w:t>
      </w:r>
    </w:p>
    <w:p>
      <w:r>
        <w:rPr>
          <w:b/>
          <w:sz w:val="19"/>
        </w:rPr>
        <w:t xml:space="preserve">Übertragbarkeit: </w:t>
      </w:r>
      <w:r>
        <w:rPr>
          <w:sz w:val="19"/>
        </w:rPr>
        <w:t>China, hypothesengenerierende Studie; Übertragbarkeit auf deutsche Versorgung unklar, derzeit keine breite Kostenübernahme</w:t>
      </w:r>
    </w:p>
    <w:p>
      <w:r>
        <w:rPr>
          <w:color w:val="5A7D3A"/>
          <w:sz w:val="18"/>
        </w:rPr>
        <w:t>https://pubmed.ncbi.nlm.nih.gov/42780516/</w:t>
      </w:r>
    </w:p>
    <w:p>
      <w:pPr>
        <w:pStyle w:val="Heading2"/>
      </w:pPr>
      <w:r>
        <w:t>Arbeitsplatzunterstützung für Stillende vermindert Adipositas-Risiko nach früher Rückkehr zur Arbeit</w:t>
      </w:r>
    </w:p>
    <w:p>
      <w:r>
        <w:rPr>
          <w:i/>
          <w:color w:val="666666"/>
          <w:sz w:val="18"/>
        </w:rPr>
        <w:t>Liu H  ·  Front Public Health  ·  09.09.2026  ·  PMID 42780412</w:t>
      </w:r>
    </w:p>
    <w:p>
      <w:r>
        <w:t>Chinesische Querschnittstudie mit 1633 Mutter-Kind-Paaren zur Assoziation von Rückkehrzeitpunkt zur Arbeit, Stillverhalten und Arbeitsplatzunterstützung mit Übergewicht/Adipositas bei Kindern 3–6 Jahren.</w:t>
      </w:r>
    </w:p>
    <w:p>
      <w:r>
        <w:rPr>
          <w:b/>
        </w:rPr>
        <w:t xml:space="preserve">Ergebnis: </w:t>
      </w:r>
      <w:r>
        <w:t>Insgesamt 458 Kinder (28,0 %) übergewichtig oder adipös. Rückkehr zu 6–15 Wochen postpartum: erhöhte Chancen (OR 1,85, 95%-KI 1,36–2,50). Rückkehr zu ≥16 Wochen: nicht signifikant (OR 1,06). Exklusives Stillen ≥6 Monate: OR 0,41 (95%-KI 0,26–0,63), Stillen 6–11 Monate: OR 0,61 (95%-KI 0,42–0,88). In explorativer Schichtanalyse: Rückkehr vor 16 Wochen assoziiert bei niedriger Arbeitsplatzunterstützung (OR 3,84, 95%-KI 2,25–6,56), nicht bei hoher (OR 1,08, p-Interaktion &lt;0,001).</w:t>
      </w:r>
    </w:p>
    <w:p>
      <w:r>
        <w:rPr>
          <w:b/>
          <w:sz w:val="19"/>
        </w:rPr>
        <w:t xml:space="preserve">Übertragbarkeit: </w:t>
      </w:r>
      <w:r>
        <w:rPr>
          <w:sz w:val="19"/>
        </w:rPr>
        <w:t>China, System nicht direkt übertragbar, aber Mechanismus (Stillen und Beruf) relevant für deutsche Elternzeitpolitik</w:t>
      </w:r>
    </w:p>
    <w:p>
      <w:r>
        <w:rPr>
          <w:color w:val="5A7D3A"/>
          <w:sz w:val="18"/>
        </w:rPr>
        <w:t>https://pubmed.ncbi.nlm.nih.gov/42780412/</w:t>
      </w:r>
    </w:p>
    <w:p>
      <w:pPr>
        <w:pStyle w:val="Heading2"/>
      </w:pPr>
      <w:r>
        <w:t>Metabolische Nebenwirkungen von Antipsychotika bei Kindern: Geschlechtsspezifische Risiken in Schweden</w:t>
      </w:r>
    </w:p>
    <w:p>
      <w:r>
        <w:rPr>
          <w:i/>
          <w:color w:val="666666"/>
          <w:sz w:val="18"/>
        </w:rPr>
        <w:t>Kimland EE et al.  ·  Pharmacoepidemiol Drug Saf  ·  Okt. 2026  ·  PMID 42770521</w:t>
      </w:r>
    </w:p>
    <w:p>
      <w:r>
        <w:t>Schwedische Registerstudie zu Adipositas und metabolischen Nebenwirkungen bei 5441 Kindern und Jugendlichen (5–17 Jahre) unter antipsychotischer Erstbehandlung zwischen 2014 und 2021.</w:t>
      </w:r>
    </w:p>
    <w:p>
      <w:r>
        <w:rPr>
          <w:b/>
        </w:rPr>
        <w:t xml:space="preserve">Ergebnis: </w:t>
      </w:r>
      <w:r>
        <w:t>Von 5441 Neunutzern entwickelten 399 (7,3 %) metabolische Nebenwirkungen, davon 69 % Adipositas. Risiko für Mädchen deutlich erhöht: Aripiprazol HR 3,52 (95%-KI 1,58–7,80), Olanzapin HR 6,99 (95%-KI 2,34–20,93), Quetiapin HR 4,87 (95%-KI 1,97–12,04) versus Risperidon. Bei Jungen signifikant erhöht nur für Aripiprazol (HR 2,21, 95%-KI 1,37–3,56). Jüngere Mädchen hatten höhere Risiken.</w:t>
      </w:r>
    </w:p>
    <w:p>
      <w:r>
        <w:rPr>
          <w:b/>
          <w:sz w:val="19"/>
        </w:rPr>
        <w:t xml:space="preserve">Übertragbarkeit: </w:t>
      </w:r>
      <w:r>
        <w:rPr>
          <w:sz w:val="19"/>
        </w:rPr>
        <w:t>Schweden, vergleichbares Gesundheitssystem und Dokumentation wie Deutschland</w:t>
      </w:r>
    </w:p>
    <w:p>
      <w:r>
        <w:rPr>
          <w:color w:val="5A7D3A"/>
          <w:sz w:val="18"/>
        </w:rPr>
        <w:t>https://pubmed.ncbi.nlm.nih.gov/42770521/</w:t>
      </w:r>
    </w:p>
    <w:p>
      <w:pPr>
        <w:pStyle w:val="Heading2"/>
      </w:pPr>
      <w:r>
        <w:t>Oxidiertes HDL und Adipositas: Frühe Marker für kardiovaskuläres Risiko</w:t>
      </w:r>
    </w:p>
    <w:p>
      <w:r>
        <w:rPr>
          <w:i/>
          <w:color w:val="666666"/>
          <w:sz w:val="18"/>
        </w:rPr>
        <w:t>Sasko B et al.  ·  Int J Mol Sci  ·  24.08.2026  ·  PMID 42737473</w:t>
      </w:r>
    </w:p>
    <w:p>
      <w:r>
        <w:t>Deutsche und internationale Kohortenstudie an 1227 Patienten mit Verdacht auf koronare Herzerkrankung zur Assoziation von BMI und oxidiertem HDL (HDLox) als Entzündungsmarker über das Adipositasspektrum.</w:t>
      </w:r>
    </w:p>
    <w:p>
      <w:r>
        <w:rPr>
          <w:b/>
        </w:rPr>
        <w:t xml:space="preserve">Ergebnis: </w:t>
      </w:r>
      <w:r>
        <w:t>HDLox-Spiegel signifikant höher bei Übergewicht und Adipositas versus Normalgewicht (p = 0,002 bzw. p &lt; 0,001). Nicht-linearer Anstieg von Normalgewicht zu Adipositas Klasse I (BMI 30–34,9), dann Plateau. Im Gesamtkollektiv: BMI korreliert schwach aber signifikant mit HDLox (β = 0,064, p = 0,024); im eingeengten BMI-Bereich (15–35) stärker (β = 0,158, p &lt; 0,001). HDL-Oxidation zeigt frühe Dysfunktion unter Gewichtszunahme an.</w:t>
      </w:r>
    </w:p>
    <w:p>
      <w:r>
        <w:rPr>
          <w:b/>
          <w:sz w:val="19"/>
        </w:rPr>
        <w:t xml:space="preserve">Übertragbarkeit: </w:t>
      </w:r>
      <w:r>
        <w:rPr>
          <w:sz w:val="19"/>
        </w:rPr>
        <w:t>Deutsche Klinikdaten, etablierte HDL-Messverfahren, kardiovaskulärer Risikomarker</w:t>
      </w:r>
    </w:p>
    <w:p>
      <w:r>
        <w:rPr>
          <w:color w:val="5A7D3A"/>
          <w:sz w:val="18"/>
        </w:rPr>
        <w:t>https://pubmed.ncbi.nlm.nih.gov/42737473/</w:t>
      </w:r>
    </w:p>
    <w:p>
      <w:pPr>
        <w:pStyle w:val="Heading1"/>
      </w:pPr>
      <w:r>
        <w:t>Aufgenommen am 24.09.2026</w:t>
      </w:r>
    </w:p>
    <w:p>
      <w:pPr>
        <w:pStyle w:val="Heading2"/>
      </w:pPr>
      <w:r>
        <w:t>Adipositas nach Erdbeben: Frauenanteil 35,5%, Prävention in Containersiedlungen möglich</w:t>
      </w:r>
    </w:p>
    <w:p>
      <w:r>
        <w:rPr>
          <w:i/>
          <w:color w:val="666666"/>
          <w:sz w:val="18"/>
        </w:rPr>
        <w:t>Kurt O et al.  ·  BMJ Open  ·  23.09.2026  ·  PMID 42778259</w:t>
      </w:r>
    </w:p>
    <w:p>
      <w:r>
        <w:t>Querschnittstudie in Containersiedelungen nach dem Erdbeben 2023 in der Türkei (Juni–Oktober 2025, 24–32 Monate später) mit 563 Erwachsenen zur Erfassung unabhängiger Adipositas-Einflussfaktoren.</w:t>
      </w:r>
    </w:p>
    <w:p>
      <w:r>
        <w:rPr>
          <w:b/>
        </w:rPr>
        <w:t xml:space="preserve">Ergebnis: </w:t>
      </w:r>
      <w:r>
        <w:t>Adipositasprävalenz 28,8% (Standardisierung auf gleiche Geschlechtsverteilung: 24,4%), deutlich höher bei Frauen als Männern (35,5% vs. 13,5%). Unabhängig assoziiert: weibliches Geschlecht (AOR 3,46), Alter ≥55 Jahre (AOR 2,44), schnelles Essen (AOR 2,28), Übergewicht in der Kindheit (AOR 1,93), chronische Erkrankung (AOR 1,85), niedriges Haushaltseinkommen (AOR 1,73). Unterschiede zwischen Siedlungen (18,8–66,7%, p&lt;0,001) zeigen relevante Umgebungseffekte.</w:t>
      </w:r>
    </w:p>
    <w:p>
      <w:r>
        <w:rPr>
          <w:b/>
          <w:sz w:val="19"/>
        </w:rPr>
        <w:t xml:space="preserve">Übertragbarkeit: </w:t>
      </w:r>
      <w:r>
        <w:rPr>
          <w:sz w:val="19"/>
        </w:rPr>
        <w:t>Türkei, vergleichbare ressourcenbegrenzte Gesundheitssysteme, Vulnerable Populationen</w:t>
      </w:r>
    </w:p>
    <w:p>
      <w:r>
        <w:rPr>
          <w:color w:val="5A7D3A"/>
          <w:sz w:val="18"/>
        </w:rPr>
        <w:t>https://pubmed.ncbi.nlm.nih.gov/42778259/</w:t>
      </w:r>
    </w:p>
    <w:p>
      <w:pPr>
        <w:pStyle w:val="Heading2"/>
      </w:pPr>
      <w:r>
        <w:t>Adipositaschirurgie bei MASLD: Fibroseregression und Reduktion von HCC-Inzidenz belegt</w:t>
      </w:r>
    </w:p>
    <w:p>
      <w:r>
        <w:rPr>
          <w:i/>
          <w:color w:val="666666"/>
          <w:sz w:val="18"/>
        </w:rPr>
        <w:t>Tuffs C et al.  ·  Z Gastroenterol  ·  23.09.2026  ·  PMID 42777698</w:t>
      </w:r>
    </w:p>
    <w:p>
      <w:r>
        <w:t>Narrative Übersichtsarbeit zur metabolischen und bariatrischen Chirurgie (MBS) bei metabolischer Dysfunktion-assoziierter steatotischer Lebererkrankung (MASLD): Synthese von Evidenz zu klinischen Outcomes, Wirksamkeit und Mechanismen mit Fokus auf Folgeerkrankungen.</w:t>
      </w:r>
    </w:p>
    <w:p>
      <w:r>
        <w:rPr>
          <w:b/>
        </w:rPr>
        <w:t xml:space="preserve">Ergebnis: </w:t>
      </w:r>
      <w:r>
        <w:t>Histologie-basierte Studien zeigen MASLD-Remission und relevante Fibroseregression nach MBS mit anhaltenden Effekten. Vergleichende Studien belegen Überlegenheit gegenüber Lebensstilintervention und konservativer Therapie; direkte Vergleiche mit modernen Medikamenten (z. B. GLP-1-Agonisten) sind begrenzt. Neue Erkenntnisse deuten auf weniger Leberkomplikationen und niedrigere HCC-Inzidenz nach MBS hin. MBS wirkt nicht nur durch Gewichtsverlust, sondern durch multiple metabolische Effekte (Hepatische Lipidmetabolismus, Mitochondrienfunktion, Glukosemetabolismus, Inkretin- und Gallensäure-Signaling, Adipokinobiologie, Gut-Leber-Achse).</w:t>
      </w:r>
    </w:p>
    <w:p>
      <w:r>
        <w:rPr>
          <w:b/>
          <w:sz w:val="19"/>
        </w:rPr>
        <w:t xml:space="preserve">Übertragbarkeit: </w:t>
      </w:r>
      <w:r>
        <w:rPr>
          <w:sz w:val="19"/>
        </w:rPr>
        <w:t>Deutschland, Universitätsklinik Gießen, Adipositaschirurgie Regelversorgung, Kostenübernahme durch Einzelfallprüfung</w:t>
      </w:r>
    </w:p>
    <w:p>
      <w:r>
        <w:rPr>
          <w:color w:val="5A7D3A"/>
          <w:sz w:val="18"/>
        </w:rPr>
        <w:t>https://pubmed.ncbi.nlm.nih.gov/42777698/</w:t>
      </w:r>
    </w:p>
    <w:p>
      <w:pPr>
        <w:pStyle w:val="Heading2"/>
      </w:pPr>
      <w:r>
        <w:t>Lebensstiländerungen erhöhen regelmäßige Menstruation bei PCOS um 303%, senken Glucose und Insulin</w:t>
      </w:r>
    </w:p>
    <w:p>
      <w:r>
        <w:rPr>
          <w:i/>
          <w:color w:val="666666"/>
          <w:sz w:val="18"/>
        </w:rPr>
        <w:t>Olalere O et al.  ·  PLoS Med  ·  23.09.2026  ·  PMID 42776991</w:t>
      </w:r>
    </w:p>
    <w:p>
      <w:r>
        <w:t>Systematische Übersicht und Metaanalyse von 34 RCTs mit 1.871 Frauen zum Vergleich von Lebensstiländerungen versus minimale oder keine Behandlung bei Polyendokrinem Metabolischem Ovarialsyndrom (PMOS).</w:t>
      </w:r>
    </w:p>
    <w:p>
      <w:r>
        <w:rPr>
          <w:b/>
        </w:rPr>
        <w:t xml:space="preserve">Ergebnis: </w:t>
      </w:r>
      <w:r>
        <w:t>Frauen mit Lebensstiländerungen zeigten höhere Chancen für regelmäßige Menstruationszyklen (OR 4,03, 95% CI 1,16–14,05). Reduktion der Taillenumfang (MD −2,38 cm, 95% CI −4,68 bis −0,08), Nüchternglukose (MD −0,13 mmol/L, 95% CI −0,25 bis −0,02) und Nüchterninsulin (MD −6,08 mU/L, 95% CI −9,86 bis −2,30) gegenüber Kontrollgruppe. Diät wirkte am stärksten auf Glukose, Bewegung auf Taillenumfang und Nüchterninsulin. Effekte größer bei Übergewicht/Adipositas.</w:t>
      </w:r>
    </w:p>
    <w:p>
      <w:r>
        <w:rPr>
          <w:b/>
          <w:sz w:val="19"/>
        </w:rPr>
        <w:t xml:space="preserve">Übertragbarkeit: </w:t>
      </w:r>
      <w:r>
        <w:rPr>
          <w:sz w:val="19"/>
        </w:rPr>
        <w:t>Internationale, gut übertragbar auf deutsches Gesundheitssystem</w:t>
      </w:r>
    </w:p>
    <w:p>
      <w:r>
        <w:rPr>
          <w:color w:val="5A7D3A"/>
          <w:sz w:val="18"/>
        </w:rPr>
        <w:t>https://pubmed.ncbi.nlm.nih.gov/42776991/</w:t>
      </w:r>
    </w:p>
    <w:p>
      <w:pPr>
        <w:pStyle w:val="Heading2"/>
      </w:pPr>
      <w:r>
        <w:t>Multikomponentige Interventionen senken Übergewicht bei Kindern wirksamer als Einzelmaßnahmen</w:t>
      </w:r>
    </w:p>
    <w:p>
      <w:r>
        <w:rPr>
          <w:i/>
          <w:color w:val="666666"/>
          <w:sz w:val="18"/>
        </w:rPr>
        <w:t>Chandiok K et al.  ·  Front Public Health  ·  08.09.2026  ·  PMID 42774859</w:t>
      </w:r>
    </w:p>
    <w:p>
      <w:r>
        <w:t>Rapid Review von 77 systematischen Übersichten zu Präventions- und Managementinterventionen bei Übergewicht und Adipositas im Kindes- und Jugendalter.</w:t>
      </w:r>
    </w:p>
    <w:p>
      <w:r>
        <w:rPr>
          <w:b/>
        </w:rPr>
        <w:t xml:space="preserve">Ergebnis: </w:t>
      </w:r>
      <w:r>
        <w:t>Multikomponentige Interventionen, die Ernährung, Bewegung und Verhaltensstrategien kombinieren, zeigten die konsistenteste Wirksamkeit bei Verbesserung anthropometrischer Outcomes. Familieneinbeziehung, schulische Durchführung und frühzeitige Intervention in der Kindheit erhöhten die Effektivität. Einzelkomponentige Interventionen zeigten begrenzte oder gemischte Effekte. Die meisten eingeschlossenen Reviews hatten niedriger bis kritisch niedriger methodischer Qualität.</w:t>
      </w:r>
    </w:p>
    <w:p>
      <w:r>
        <w:rPr>
          <w:b/>
          <w:sz w:val="19"/>
        </w:rPr>
        <w:t xml:space="preserve">Übertragbarkeit: </w:t>
      </w:r>
      <w:r>
        <w:rPr>
          <w:sz w:val="19"/>
        </w:rPr>
        <w:t>Internationale Evidenz; Implementierbarkeit in deutschen Schulen und Kitas unklar</w:t>
      </w:r>
    </w:p>
    <w:p>
      <w:r>
        <w:rPr>
          <w:color w:val="5A7D3A"/>
          <w:sz w:val="18"/>
        </w:rPr>
        <w:t>https://pubmed.ncbi.nlm.nih.gov/42774859/</w:t>
      </w:r>
    </w:p>
    <w:p>
      <w:pPr>
        <w:pStyle w:val="Heading2"/>
      </w:pPr>
      <w:r>
        <w:t>Adipositas als verkörperter und sozialer Burden: Qualitative Analyse von 23 Patienten mit realistischer Körperwahrnehmung</w:t>
      </w:r>
    </w:p>
    <w:p>
      <w:r>
        <w:rPr>
          <w:i/>
          <w:color w:val="666666"/>
          <w:sz w:val="18"/>
        </w:rPr>
        <w:t>Kurt AK et al.  ·  BMC Psychol  ·  26.08.2026  ·  PMID 42773484</w:t>
      </w:r>
    </w:p>
    <w:p>
      <w:r>
        <w:t>Qualitative interpretivist Studie mit 23 Erwachsenen einer Adipositasambulanz (Mai–August 2025) mit realistischer Körperwahrnehmung (Konkordanz zwischen gemessenem BMI und ausgewählter Silhouette), mittels 20–30 min Interviews und Thematischer Analyse nach Braun &amp; Clarke.</w:t>
      </w:r>
    </w:p>
    <w:p>
      <w:r>
        <w:rPr>
          <w:b/>
        </w:rPr>
        <w:t xml:space="preserve">Ergebnis: </w:t>
      </w:r>
      <w:r>
        <w:t>Vier übergeordnete Themen: (1) Gesundheit, Funktionsfähigkeit und tägliches Leben (Adipositas als durchdringende Belastung, die alltägliche Aktivitäten einschränkt); (2) Körperbild und emotionale Erfahrung (emotional belastend durch negative Körperwahrnehmung und soziale Stigmatisierung); (3) Erklärungsmodelle und wahrgenommene Ursachen (multifaktoriale Narrative: Lebensstil, Stress, Biologie/Medikation, Haushaltsroutinen, Food Environment); (4) Kampf um Veränderung und Lösungssuche (wiederholte Zyklen von Versuchen, Plateaus und Wiederzunahme, starker Wunsch nach professioneller Unterstützung).</w:t>
      </w:r>
    </w:p>
    <w:p>
      <w:r>
        <w:rPr>
          <w:b/>
          <w:sz w:val="19"/>
        </w:rPr>
        <w:t xml:space="preserve">Übertragbarkeit: </w:t>
      </w:r>
      <w:r>
        <w:rPr>
          <w:sz w:val="19"/>
        </w:rPr>
        <w:t>Türkei, urbaner klinischer Kontext, grundlegende Mechanismen der Versorgung</w:t>
      </w:r>
    </w:p>
    <w:p>
      <w:r>
        <w:rPr>
          <w:color w:val="5A7D3A"/>
          <w:sz w:val="18"/>
        </w:rPr>
        <w:t>https://pubmed.ncbi.nlm.nih.gov/42773484/</w:t>
      </w:r>
    </w:p>
    <w:p>
      <w:pPr>
        <w:pStyle w:val="Heading2"/>
      </w:pPr>
      <w:r>
        <w:t>Orale und Darm-Mikrobiota vor Adipositaschirurgie vorhersagen Gewichtsverlust nach Operation</w:t>
      </w:r>
    </w:p>
    <w:p>
      <w:r>
        <w:rPr>
          <w:i/>
          <w:color w:val="666666"/>
          <w:sz w:val="18"/>
        </w:rPr>
        <w:t>Alwali A et al.  ·  Clin Nutr ESPEN  ·  12.08.2026  ·  PMID 42586481</w:t>
      </w:r>
    </w:p>
    <w:p>
      <w:r>
        <w:t>Pilotstudie mit 33 Patienten unter bariatrischer Chirurgie: Erfassung von Stuhlfauna, oralem Mikrobiom, Serum und Fettgewebe präoperativ und 6 Monate postoperativ mit 16S-rRNA-Sequenzierung zur Vorhersage des Überschussgewichtsverlusts (EWL).</w:t>
      </w:r>
    </w:p>
    <w:p>
      <w:r>
        <w:rPr>
          <w:b/>
        </w:rPr>
        <w:t xml:space="preserve">Ergebnis: </w:t>
      </w:r>
      <w:r>
        <w:t>Höhere Diversität der oralen Mikrobiota präoperativ war mit stärkerem postoperativem EWL assoziiert. Stuhlfauna-Diversität stieg nach OP und korrelierte mit EWL. Erhöhte postoperative Häufigkeit von Alistipes bei besten EWL-Ergebnissen. Veillonella im Mund präoperativ positiv mit Response assoziiert. Bakterielle Profile in subkutanem Fett (nicht viszeral, nicht Serum) zeigten Assoziation mit EWL (R²=0,097, p=0,006) und BMI (R²=0,055, p=0,017).</w:t>
      </w:r>
    </w:p>
    <w:p>
      <w:r>
        <w:rPr>
          <w:b/>
          <w:sz w:val="19"/>
        </w:rPr>
        <w:t xml:space="preserve">Übertragbarkeit: </w:t>
      </w:r>
      <w:r>
        <w:rPr>
          <w:sz w:val="19"/>
        </w:rPr>
        <w:t>Deutschland, schleswig-holsteinische Universitätskliniken, vergleichbare Versorgungsstrukturen</w:t>
      </w:r>
    </w:p>
    <w:p>
      <w:r>
        <w:rPr>
          <w:color w:val="5A7D3A"/>
          <w:sz w:val="18"/>
        </w:rPr>
        <w:t>https://pubmed.ncbi.nlm.nih.gov/42586481/</w:t>
      </w:r>
    </w:p>
    <w:p>
      <w:pPr>
        <w:pStyle w:val="Heading1"/>
      </w:pPr>
      <w:r>
        <w:t>Aufgenommen am 23.09.2026</w:t>
      </w:r>
    </w:p>
    <w:p>
      <w:pPr>
        <w:pStyle w:val="Heading2"/>
      </w:pPr>
      <w:r>
        <w:t>Bariatrische Chirurgie kosteneffektiver als GLP-1-Rezeptoragonisten bei Kniearthrose mit Adipositas</w:t>
      </w:r>
    </w:p>
    <w:p>
      <w:r>
        <w:rPr>
          <w:i/>
          <w:color w:val="666666"/>
          <w:sz w:val="18"/>
        </w:rPr>
        <w:t>Gao Y et al.  ·  BMJ Open  ·  22.09.2026  ·  PMID 42772870</w:t>
      </w:r>
    </w:p>
    <w:p>
      <w:r>
        <w:t>Systematische Übersicht (n=8 Studien) zur Kosteneffektivität von Gewichtsverlustinterventionen bei Kniearthrose und Adipositas; Vergleich von Kombinationsprogrammen (Diät+Bewegung), Chirurgie und Pharmakotherapie mittels QALY und ICER.</w:t>
      </w:r>
    </w:p>
    <w:p>
      <w:r>
        <w:rPr>
          <w:b/>
        </w:rPr>
        <w:t xml:space="preserve">Ergebnis: </w:t>
      </w:r>
      <w:r>
        <w:t>Kombinierte Diät-/Bewegungsprogramme: ICER £16.915–£31.305/QALY mit QALY-Gewinn 0,05–0,16; bariatrische Chirurgie: ICER £4.361–£19.303/QALY, QALY 0,81–1,7; GLP-1-Rezeptoragonisten: ICER £32.265–£35.832/QALY. Nach UK-Schwellen (£25.000–£35.000/QALY) ist Chirurgie kosteneffektiv; Pharmakotherapie an Grenze.</w:t>
      </w:r>
    </w:p>
    <w:p>
      <w:r>
        <w:rPr>
          <w:b/>
          <w:sz w:val="19"/>
        </w:rPr>
        <w:t xml:space="preserve">Übertragbarkeit: </w:t>
      </w:r>
      <w:r>
        <w:rPr>
          <w:sz w:val="19"/>
        </w:rPr>
        <w:t>UK-Schwellenwerte; Übertragbarkeit auf Deutschland eingeschränkt (GLP-1 dort nicht erstattet, Erstattungswege für Chirurgie unterschiedlich)</w:t>
      </w:r>
    </w:p>
    <w:p>
      <w:r>
        <w:rPr>
          <w:color w:val="5A7D3A"/>
          <w:sz w:val="18"/>
        </w:rPr>
        <w:t>https://pubmed.ncbi.nlm.nih.gov/42772870/</w:t>
      </w:r>
    </w:p>
    <w:p>
      <w:pPr>
        <w:pStyle w:val="Heading2"/>
      </w:pPr>
      <w:r>
        <w:t>Konsistente moderate Gewichtsabnahme bei Kindern prognostiziert langfristige Therapieerfolge besser als rapide Abnahme</w:t>
      </w:r>
    </w:p>
    <w:p>
      <w:r>
        <w:rPr>
          <w:i/>
          <w:color w:val="666666"/>
          <w:sz w:val="18"/>
        </w:rPr>
        <w:t>Saelens BE et al.  ·  Pediatr Obes  ·  Sept. 2026  ·  PMID 42770536</w:t>
      </w:r>
    </w:p>
    <w:p>
      <w:r>
        <w:t>Latenklassen-Analyse (N=294 Kinder, 7–11 Jahre) mit BMI-Verlauf während und nach Adipositasbehandlung (Verhaltensintervention); Identifikation von drei Gewichtsverlauf-Mustern und deren Vorhersage für BMI z-Score nach 1-Jahres-Nachverfolgung.</w:t>
      </w:r>
    </w:p>
    <w:p>
      <w:r>
        <w:rPr>
          <w:b/>
        </w:rPr>
        <w:t xml:space="preserve">Ergebnis: </w:t>
      </w:r>
      <w:r>
        <w:t>Drei Klassen: schnelle Abnahme dann stabil (6%), konsistent moderate Abnahme (43%), moderate abnehmend (51%). Konsistent moderate Gewichtsabnahme zeigte stabilste Ergebnisse im Follow-up (BMI z-Score-Anstieg minimal vs. Anstieg in anderen Gruppen, p=0,017). Rapide initial Gewichtsabnahme nicht mit besseren Langzeitergebnissen assoziiert.</w:t>
      </w:r>
    </w:p>
    <w:p>
      <w:r>
        <w:rPr>
          <w:b/>
          <w:sz w:val="19"/>
        </w:rPr>
        <w:t xml:space="preserve">Übertragbarkeit: </w:t>
      </w:r>
      <w:r>
        <w:rPr>
          <w:sz w:val="19"/>
        </w:rPr>
        <w:t>USA, generalisierbar für verhaltensbasierte Interventionen in Kinder-Adipositasprogrammen</w:t>
      </w:r>
    </w:p>
    <w:p>
      <w:r>
        <w:rPr>
          <w:color w:val="5A7D3A"/>
          <w:sz w:val="18"/>
        </w:rPr>
        <w:t>https://pubmed.ncbi.nlm.nih.gov/42770536/</w:t>
      </w:r>
    </w:p>
    <w:p>
      <w:pPr>
        <w:pStyle w:val="Heading2"/>
      </w:pPr>
      <w:r>
        <w:t>Strukturierte Familienunterstützung (Co-Fam) bei Adipositas von Kindern: Versorgungsmodell mit Implementationsprüfung</w:t>
      </w:r>
    </w:p>
    <w:p>
      <w:r>
        <w:rPr>
          <w:i/>
          <w:color w:val="666666"/>
          <w:sz w:val="18"/>
        </w:rPr>
        <w:t>Berdman I et al.  ·  BMC Public Health  ·  21.09.2026  ·  PMID 42768347</w:t>
      </w:r>
    </w:p>
    <w:p>
      <w:r>
        <w:t>Randomisierte Hybrid-Studie in Schweden zum Vergleich eines strukturierten 12-Monate-Programms (More and Less) mit Standardversorgung bei adipösen Kindern (6–12 Jahre); Primäre Ergebnis: BMI z-Score und Übergewichts-/Adipositasprävalenz nach 3 und 12 Monaten; sekundär: elterliche Fütterungspraktiken, körperliche Aktivität und Implementierungstreue.</w:t>
      </w:r>
    </w:p>
    <w:p>
      <w:r>
        <w:rPr>
          <w:b/>
        </w:rPr>
        <w:t xml:space="preserve">Ergebnis: </w:t>
      </w:r>
      <w:r>
        <w:t>Studienprotokoll; Ergebnisse noch ausstehend. Erwartung: Effektivitäts- und Implementierungsdaten werden die Skalierbarkeit des integrierten Modells (Schulprogramm + Primärversorgung) informieren.</w:t>
      </w:r>
    </w:p>
    <w:p>
      <w:r>
        <w:rPr>
          <w:b/>
          <w:sz w:val="19"/>
        </w:rPr>
        <w:t xml:space="preserve">Übertragbarkeit: </w:t>
      </w:r>
      <w:r>
        <w:rPr>
          <w:sz w:val="19"/>
        </w:rPr>
        <w:t>Schweden, vergleichbar strukturiertes Gesundheitssystem mit schulischer Gesundheitsüberwachung</w:t>
      </w:r>
    </w:p>
    <w:p>
      <w:r>
        <w:rPr>
          <w:color w:val="5A7D3A"/>
          <w:sz w:val="18"/>
        </w:rPr>
        <w:t>https://pubmed.ncbi.nlm.nih.gov/42768347/</w:t>
      </w:r>
    </w:p>
    <w:p>
      <w:pPr>
        <w:pStyle w:val="Heading2"/>
      </w:pPr>
      <w:r>
        <w:t>GLP-1-Rezeptoragonisten (Dulaglutid, Semaglutid) senken HbA1c und Gewicht in afroamerikanischer Bevölkerung</w:t>
      </w:r>
    </w:p>
    <w:p>
      <w:r>
        <w:rPr>
          <w:i/>
          <w:color w:val="666666"/>
          <w:sz w:val="18"/>
        </w:rPr>
        <w:t>Deas C et al.  ·  J Health Care Poor Underserved  ·  2026  ·  PMID 42766517</w:t>
      </w:r>
    </w:p>
    <w:p>
      <w:r>
        <w:t>Retrospektive Kohortenstudie (N=91 Patienten, 85,7% afroamerikanisch) zu realen Effekten von Dulaglutid und Semaglutid auf HbA1c und Gewicht über durchschnittlich 14,9 Monate; Vergleich von Dosisgruppen.</w:t>
      </w:r>
    </w:p>
    <w:p>
      <w:r>
        <w:rPr>
          <w:b/>
        </w:rPr>
        <w:t xml:space="preserve">Ergebnis: </w:t>
      </w:r>
      <w:r>
        <w:t>HbA1c-Reduktion um 2,39% (p&lt;0,001); Gewichtsabnahme 4,76 kg (p&lt;0,001). Hochdosis-Dulaglutid signifikant stärkere HbA1c-Senkung als Niedrigdosis (p=0,023). Ergebnis dokumentiert Wirksamkeit in unterrepräsentierter Population, aber ohne Vergleichsgruppe und ohne Daten zu Folgeerkrankungen.</w:t>
      </w:r>
    </w:p>
    <w:p>
      <w:r>
        <w:rPr>
          <w:b/>
          <w:sz w:val="19"/>
        </w:rPr>
        <w:t xml:space="preserve">Übertragbarkeit: </w:t>
      </w:r>
      <w:r>
        <w:rPr>
          <w:sz w:val="19"/>
        </w:rPr>
        <w:t>USA; Übertragbarkeit zu Wirksamkeit begrenzt – in Deutschland Paragraf 34 SGB V schließt GLP-1 von Kostenübernahme aus</w:t>
      </w:r>
    </w:p>
    <w:p>
      <w:r>
        <w:rPr>
          <w:color w:val="5A7D3A"/>
          <w:sz w:val="18"/>
        </w:rPr>
        <w:t>https://pubmed.ncbi.nlm.nih.gov/42766517/</w:t>
      </w:r>
    </w:p>
    <w:p>
      <w:pPr>
        <w:pStyle w:val="Heading2"/>
      </w:pPr>
      <w:r>
        <w:t>Höherer BMI mit besserer Tumorregression bei Ösophaguskarzinom – Paradox aus deutschem Registeranalyse</w:t>
      </w:r>
    </w:p>
    <w:p>
      <w:r>
        <w:rPr>
          <w:i/>
          <w:color w:val="666666"/>
          <w:sz w:val="18"/>
        </w:rPr>
        <w:t>Otto SD et al.  ·  Cancer Med  ·  Sept. 2026  ·  PMID 42760794</w:t>
      </w:r>
    </w:p>
    <w:p>
      <w:r>
        <w:t>Prospektive Registeranalyse (DGAV, N=647 Patienten mit Ösophaguskarzinom) zur Assoziation zwischen BMI und histopathologischem Tumorreggressionsgrad nach neoadjuvanter Therapie; Hazard Ratios adjustiert für klinische und Tumorcharakteristika.</w:t>
      </w:r>
    </w:p>
    <w:p>
      <w:r>
        <w:rPr>
          <w:b/>
        </w:rPr>
        <w:t xml:space="preserve">Ergebnis: </w:t>
      </w:r>
      <w:r>
        <w:t>Unerwartet: höherer BMI mit vermindertem Risiko für höhere Becker-Grade (≥2: OR 0,97 per BMI-Einheit, p=0,04; ≥3: OR 0,93, p&lt;0,001). Keine Assoziation für Übergang zu Grad ≥1b. Autoren deuten auf unterschiedliche Tumorkobiologie hin, warnen aber vor Kausalitätsinterpretation.</w:t>
      </w:r>
    </w:p>
    <w:p>
      <w:r>
        <w:rPr>
          <w:b/>
          <w:sz w:val="19"/>
        </w:rPr>
        <w:t xml:space="preserve">Übertragbarkeit: </w:t>
      </w:r>
      <w:r>
        <w:rPr>
          <w:sz w:val="19"/>
        </w:rPr>
        <w:t>Deutsche Klinikdaten (DGAV-Register); hohe Übertragbarkeit auf deutsches Gesundheitssystem</w:t>
      </w:r>
    </w:p>
    <w:p>
      <w:r>
        <w:rPr>
          <w:color w:val="5A7D3A"/>
          <w:sz w:val="18"/>
        </w:rPr>
        <w:t>https://pubmed.ncbi.nlm.nih.gov/42760794/</w:t>
      </w:r>
    </w:p>
    <w:p>
      <w:pPr>
        <w:pStyle w:val="Heading1"/>
      </w:pPr>
      <w:r>
        <w:t>Aufgenommen am 22.09.2026</w:t>
      </w:r>
    </w:p>
    <w:p>
      <w:pPr>
        <w:pStyle w:val="Heading2"/>
      </w:pPr>
      <w:r>
        <w:t>Lipoödem wird häufig als Adipositas fehlklassifiziert – phänotypbasierte Versorgung nötig</w:t>
      </w:r>
    </w:p>
    <w:p>
      <w:r>
        <w:rPr>
          <w:i/>
          <w:color w:val="666666"/>
          <w:sz w:val="18"/>
        </w:rPr>
        <w:t>Varghese RT et al.  ·  Clin Obes  ·  Okt. 2026  ·  PMID 42767624</w:t>
      </w:r>
    </w:p>
    <w:p>
      <w:r>
        <w:t>Narrative Übersichtsarbeit zur Abgrenzung von Lipoödem (schmerzhafte, disproportionale Extremitätenfettverteilung) von generalisierter Adipositas und deren unterschiedlichen metabolischen Profilen.</w:t>
      </w:r>
    </w:p>
    <w:p>
      <w:r>
        <w:rPr>
          <w:b/>
        </w:rPr>
        <w:t xml:space="preserve">Ergebnis: </w:t>
      </w:r>
      <w:r>
        <w:t>Einige Studien berichten weniger metabolische Abnormitäten bei Lipoödem als bei BMI-gematchter Adipositas, doch fehlende Standardisierung und Referralverzerrung erschweren sichere Schlüsse. Kardiovaskuläre Risiken sollten phänotypbasiert bewertet werden – nicht allein durch BMI, sondern mit Waist-to-Height-Ratio, Körperzusammensetzung und zentralem Fett. GLP-1-RA bleiben bei etablierten Indikationen angezeigt.</w:t>
      </w:r>
    </w:p>
    <w:p>
      <w:r>
        <w:rPr>
          <w:b/>
          <w:sz w:val="19"/>
        </w:rPr>
        <w:t xml:space="preserve">Übertragbarkeit: </w:t>
      </w:r>
      <w:r>
        <w:rPr>
          <w:sz w:val="19"/>
        </w:rPr>
        <w:t>Deutschsprachige Literatur integriert, klinisch relevant für Versorgungsgerechtigkeit.</w:t>
      </w:r>
    </w:p>
    <w:p>
      <w:r>
        <w:rPr>
          <w:color w:val="5A7D3A"/>
          <w:sz w:val="18"/>
        </w:rPr>
        <w:t>https://pubmed.ncbi.nlm.nih.gov/42767624/</w:t>
      </w:r>
    </w:p>
    <w:p>
      <w:pPr>
        <w:pStyle w:val="Heading2"/>
      </w:pPr>
      <w:r>
        <w:t>GLP-1-Rezeptoragonisten senken Dekompensation und Mortalität bei älteren Patienten mit MASLD</w:t>
      </w:r>
    </w:p>
    <w:p>
      <w:r>
        <w:rPr>
          <w:i/>
          <w:color w:val="666666"/>
          <w:sz w:val="18"/>
        </w:rPr>
        <w:t>Koutouratsas T et al.  ·  Age Ageing  ·  04.09.2026  ·  PMID 42765724</w:t>
      </w:r>
    </w:p>
    <w:p>
      <w:r>
        <w:t>Retrospektive Kohortenstudie mit 43.930 Patienten ≥65 Jahren mit metabolisch-assoziierter Fettlebererkrankung (MASLD), die GLP-1-Rezeptoragonisten initiierten vs. unbehandelt; Follow-up bis 10 Jahre.</w:t>
      </w:r>
    </w:p>
    <w:p>
      <w:r>
        <w:rPr>
          <w:b/>
        </w:rPr>
        <w:t xml:space="preserve">Ergebnis: </w:t>
      </w:r>
      <w:r>
        <w:t>GLP-1-RA-Nutzer zeigten niedrigere Hazard Ratios für hepatische Dekompensation (HR 0,72, 95%-KI 0,66–0,79), Mortalität (HR 0,55, 0,52–0,58) und Krankenhausaufenthalte (HR 0,95, 0,93–0,97). MACE zeigte keine Reduktion (HR 0,98, 0,92–1,04). Häufigere gastrointestinale Ereignisse und Retinopathie wurden beobachtet.</w:t>
      </w:r>
    </w:p>
    <w:p>
      <w:r>
        <w:rPr>
          <w:b/>
          <w:sz w:val="19"/>
        </w:rPr>
        <w:t xml:space="preserve">Übertragbarkeit: </w:t>
      </w:r>
      <w:r>
        <w:rPr>
          <w:sz w:val="19"/>
        </w:rPr>
        <w:t>USA-Daten, andere Kostenübernahmeregelungen als Deutschland; Sicherheitssignale aber übertragbar.</w:t>
      </w:r>
    </w:p>
    <w:p>
      <w:r>
        <w:rPr>
          <w:color w:val="5A7D3A"/>
          <w:sz w:val="18"/>
        </w:rPr>
        <w:t>https://pubmed.ncbi.nlm.nih.gov/42765724/</w:t>
      </w:r>
    </w:p>
    <w:p>
      <w:pPr>
        <w:pStyle w:val="Heading2"/>
      </w:pPr>
      <w:r>
        <w:t>Soziale Fragmentierung im Wohngebiet assoziiert mit Übergewicht bei Mädchen – Querschnitt Porto</w:t>
      </w:r>
    </w:p>
    <w:p>
      <w:r>
        <w:rPr>
          <w:i/>
          <w:color w:val="666666"/>
          <w:sz w:val="18"/>
        </w:rPr>
        <w:t>Lourenço AC et al.  ·  Am J Hum Biol  ·  Sept. 2026  ·  PMID 42764604</w:t>
      </w:r>
    </w:p>
    <w:p>
      <w:r>
        <w:t>Querschnittstudie bei 832 Kindern (3–10 Jahre) in Porto zu Nachbarschafts-Sozialer-Fragmentierung (aus 2021-Zensus) und exzessivem Körpergewicht.</w:t>
      </w:r>
    </w:p>
    <w:p>
      <w:r>
        <w:rPr>
          <w:b/>
        </w:rPr>
        <w:t xml:space="preserve">Ergebnis: </w:t>
      </w:r>
      <w:r>
        <w:t>Keine Assoziation bei Jungen. Bei Mädchen: Die am wenigsten fragmentierten Nachbarschaften zeigten niedrigere Odds für Übergewicht vs. am meisten fragmentierte (OR 0,55, 95%-KI 0,32–0,94, p=0,030). Geschlechtsspezifische Unterschiede deuten auf unterschiedliche soziale und/oder Umgebungsmechanismen hin.</w:t>
      </w:r>
    </w:p>
    <w:p>
      <w:r>
        <w:rPr>
          <w:b/>
          <w:sz w:val="19"/>
        </w:rPr>
        <w:t xml:space="preserve">Übertragbarkeit: </w:t>
      </w:r>
      <w:r>
        <w:rPr>
          <w:sz w:val="19"/>
        </w:rPr>
        <w:t>Portugal, Zensusdaten vergleichbar mit deutschem Statistiksystem; relevant für Neighbourhood-Health-Forschung in DACH.</w:t>
      </w:r>
    </w:p>
    <w:p>
      <w:r>
        <w:rPr>
          <w:color w:val="5A7D3A"/>
          <w:sz w:val="18"/>
        </w:rPr>
        <w:t>https://pubmed.ncbi.nlm.nih.gov/42764604/</w:t>
      </w:r>
    </w:p>
    <w:p>
      <w:pPr>
        <w:pStyle w:val="Heading2"/>
      </w:pPr>
      <w:r>
        <w:t>Beta-Hydroxy-Beta-Methylbutyrat-Supplement erhöhte Muskelmasse nicht signifikant bei sarkopenischer Adipositas</w:t>
      </w:r>
    </w:p>
    <w:p>
      <w:r>
        <w:rPr>
          <w:i/>
          <w:color w:val="666666"/>
          <w:sz w:val="18"/>
        </w:rPr>
        <w:t>Fraenkel E et al.  ·  Orv Hetil  ·  20.09.2026  ·  PMID 42763880</w:t>
      </w:r>
    </w:p>
    <w:p>
      <w:r>
        <w:t>Querschnittstudie (n=48, 55–84 Jahre) mit 6-Monats-Follow-up zu HMB-haltigem Diabetes-spezifischem Nahrungsergänzungsmittel bei Patienten mit Typ-2-Diabetes, sarkopenischer Adipositas und MASLD.</w:t>
      </w:r>
    </w:p>
    <w:p>
      <w:r>
        <w:rPr>
          <w:b/>
        </w:rPr>
        <w:t xml:space="preserve">Ergebnis: </w:t>
      </w:r>
      <w:r>
        <w:t>28 von 48 Patienten zeigten Muskelmasse-Zunahme; 16 davon ≤5%, 8 &gt;5%, 4 &gt;10% des Ausgangswerts. 20 Patienten hatten Abnahmen ≤5%. Muskelmaßveränderungen erreichten keine statistische Signifikanz. Höheres Alter (OR 0,87, p=0,04) und höhere Triglyzeride (OR 0,21, p=0,05) waren negative Prädiktoren. Kleine Fallzahl, fehlende Signifikanz trotz Trend.</w:t>
      </w:r>
    </w:p>
    <w:p>
      <w:r>
        <w:rPr>
          <w:b/>
          <w:sz w:val="19"/>
        </w:rPr>
        <w:t xml:space="preserve">Übertragbarkeit: </w:t>
      </w:r>
      <w:r>
        <w:rPr>
          <w:sz w:val="19"/>
        </w:rPr>
        <w:t>Ungarn/Slowakei, kleine Kohorte; begrenzte Übertragbarkeit auf deutsche Routineversorgung.</w:t>
      </w:r>
    </w:p>
    <w:p>
      <w:r>
        <w:rPr>
          <w:color w:val="5A7D3A"/>
          <w:sz w:val="18"/>
        </w:rPr>
        <w:t>https://pubmed.ncbi.nlm.nih.gov/42763880/</w:t>
      </w:r>
    </w:p>
    <w:p>
      <w:pPr>
        <w:pStyle w:val="Heading2"/>
      </w:pPr>
      <w:r>
        <w:t>Metabolisches Syndrom-Inzidenz in Südxinjiang: 32,06 pro 1000 Personenjahre, höher bei Männern</w:t>
      </w:r>
    </w:p>
    <w:p>
      <w:r>
        <w:rPr>
          <w:i/>
          <w:color w:val="666666"/>
          <w:sz w:val="18"/>
        </w:rPr>
        <w:t>Gu SJ et al.  ·  Zhonghua Liu Xing Bing Xue Za Zhi  ·  10.09.2026  ·  PMID 42763190</w:t>
      </w:r>
    </w:p>
    <w:p>
      <w:r>
        <w:t>Prospektive ländliche Kohortenstudie (n=12.813, 2016–2024) in Südxinjiang mit Latenter-Klassen-Analyse und Cox-Regressionen zu Metabolischem Syndrom (MS).</w:t>
      </w:r>
    </w:p>
    <w:p>
      <w:r>
        <w:rPr>
          <w:b/>
        </w:rPr>
        <w:t xml:space="preserve">Ergebnis: </w:t>
      </w:r>
      <w:r>
        <w:t>MS-Inzidenz 32,06/1000 Personenjahre; Männer 37,25, Frauen 27,89/1000 PJ. Unabhängige Risikofaktoren: Alter &gt;30 Jahre, Übergewicht/Adipositas, abnormales LDL-C, abnormale Gamma-Glutamyl-Transferase, high-TG–high-waist-circumference-Phänotyp, hypertension–high-waist-circumference-Phänotyp (alle HR&gt;1,00, p&lt;0,05). 31–60 Jahre: höchste Risikokonzentration. Sekundarschulbildung senkte Risiko. Geschlechts- und Altersspezifische Unterschiede in Risikofaktoren.</w:t>
      </w:r>
    </w:p>
    <w:p>
      <w:r>
        <w:rPr>
          <w:b/>
          <w:sz w:val="19"/>
        </w:rPr>
        <w:t xml:space="preserve">Übertragbarkeit: </w:t>
      </w:r>
      <w:r>
        <w:rPr>
          <w:sz w:val="19"/>
        </w:rPr>
        <w:t>China, aber Präventions- und Screening-Framework auf Hochrisiko-Populationen in Deutschland übertragbar.</w:t>
      </w:r>
    </w:p>
    <w:p>
      <w:r>
        <w:rPr>
          <w:color w:val="5A7D3A"/>
          <w:sz w:val="18"/>
        </w:rPr>
        <w:t>https://pubmed.ncbi.nlm.nih.gov/42763190/</w:t>
      </w:r>
    </w:p>
    <w:p>
      <w:pPr>
        <w:pStyle w:val="Heading2"/>
      </w:pPr>
      <w:r>
        <w:t>Polygene Risikoscores und Adipositas erhöhen Progression von Typ-2-Diabetes zu Darmkrebs-Komorbiditäten</w:t>
      </w:r>
    </w:p>
    <w:p>
      <w:r>
        <w:rPr>
          <w:i/>
          <w:color w:val="666666"/>
          <w:sz w:val="18"/>
        </w:rPr>
        <w:t>Liu B et al.  ·  BMC Cancer  ·  20.08.2026  ·  PMID 42754861</w:t>
      </w:r>
    </w:p>
    <w:p>
      <w:r>
        <w:t>Chinesische Populationsstudie (n=805, vier Gruppen) mit genetischen Daten zu T2D-Darmkrebs-Komorbiditäten, Polygene Risikoscores (PRS) und BMI-Wechselwirkungen.</w:t>
      </w:r>
    </w:p>
    <w:p>
      <w:r>
        <w:rPr>
          <w:b/>
        </w:rPr>
        <w:t xml:space="preserve">Ergebnis: </w:t>
      </w:r>
      <w:r>
        <w:t>T2D-CRC-Komorbiditäts-Gruppe hatte höhere PRS für beide Erkrankungen als Kontrollen. T2D-PRS: Borderline-Assoziation mit isoliertem Darmkrebs-Risiko (OR 1,24, p=0,046). BMI modifizierte die Assoziation zwischen CRC-genetischer Last und Risiko signifikant (OR 1,75, 95%-KI 1,27–2,34; p=0,033), stärker in Übergewichtigen. Transitionsrisiko von T2D zu Komorbiditäten mit erhöhter CRC-genetischer Last (HR 1,21, p=0,037).</w:t>
      </w:r>
    </w:p>
    <w:p>
      <w:r>
        <w:rPr>
          <w:b/>
          <w:sz w:val="19"/>
        </w:rPr>
        <w:t xml:space="preserve">Übertragbarkeit: </w:t>
      </w:r>
      <w:r>
        <w:rPr>
          <w:sz w:val="19"/>
        </w:rPr>
        <w:t>China, aber genetisch vergleichbare Populationen; epidemiologisches Konzept auf DACH übertragbar.</w:t>
      </w:r>
    </w:p>
    <w:p>
      <w:r>
        <w:rPr>
          <w:color w:val="5A7D3A"/>
          <w:sz w:val="18"/>
        </w:rPr>
        <w:t>https://pubmed.ncbi.nlm.nih.gov/42754861/</w:t>
      </w:r>
    </w:p>
    <w:p>
      <w:pPr>
        <w:pStyle w:val="Heading2"/>
      </w:pPr>
      <w:r>
        <w:t>Genetische Varianten für Antipsychotika-induzierte Gewichtszunahme: Systematische Übersicht von 53 Studien</w:t>
      </w:r>
    </w:p>
    <w:p>
      <w:r>
        <w:rPr>
          <w:i/>
          <w:color w:val="666666"/>
          <w:sz w:val="18"/>
        </w:rPr>
        <w:t>Kronenbuerger M et al.  ·  Schizophr Res  ·  21.07.2026  ·  PMID 42480244</w:t>
      </w:r>
    </w:p>
    <w:p>
      <w:r>
        <w:t>Systematische Übersicht (PRISMA) von 2018–2026 zu Polymorphismen und epigenetischen Markern, die mit Antipsychotika-induzierter Gewichtszunahme (AIWG) assoziiert sind.</w:t>
      </w:r>
    </w:p>
    <w:p>
      <w:r>
        <w:rPr>
          <w:b/>
        </w:rPr>
        <w:t xml:space="preserve">Ergebnis: </w:t>
      </w:r>
      <w:r>
        <w:t>DRD2, HTR2C, MC4R wurden in Kandidaten-Gen-Studien am konsistentesten repliziert. Genome-wide association studies identifizierten novel associations (MAP2K1, ZDBF2, PEPD). Kein einzelner genetischer Marker ist klinisch anwendungsreif; Multi-Omics und Mehrahnenstudien sind notwendig. 53 eingeschlossene Studien, begrenzte Replikation und methodische Heterogenität.</w:t>
      </w:r>
    </w:p>
    <w:p>
      <w:r>
        <w:rPr>
          <w:b/>
          <w:sz w:val="19"/>
        </w:rPr>
        <w:t xml:space="preserve">Übertragbarkeit: </w:t>
      </w:r>
      <w:r>
        <w:rPr>
          <w:sz w:val="19"/>
        </w:rPr>
        <w:t>Psychiatrische Versorgung in Deutschland betroffen; keine direkten Handlungsempfehlungen für Praxis, aber relevant für Risikoprävention.</w:t>
      </w:r>
    </w:p>
    <w:p>
      <w:r>
        <w:rPr>
          <w:color w:val="5A7D3A"/>
          <w:sz w:val="18"/>
        </w:rPr>
        <w:t>https://pubmed.ncbi.nlm.nih.gov/42480244/</w:t>
      </w:r>
    </w:p>
    <w:p>
      <w:pPr>
        <w:pStyle w:val="Heading1"/>
      </w:pPr>
      <w:r>
        <w:t>Aufgenommen am 21.09.2026</w:t>
      </w:r>
    </w:p>
    <w:p>
      <w:pPr>
        <w:pStyle w:val="Heading2"/>
      </w:pPr>
      <w:r>
        <w:t>Liraglutide halbierte Rate unerwünschter Wirkungen, Gewichtsverlust 8,5 kg über 26 Wochen in Taiwan</w:t>
      </w:r>
    </w:p>
    <w:p>
      <w:r>
        <w:rPr>
          <w:i/>
          <w:color w:val="666666"/>
          <w:sz w:val="18"/>
        </w:rPr>
        <w:t>Tu ST et al.  ·  Endocrinol Diabetes Metab  ·  Sept. 2026  ·  PMID 42762462</w:t>
      </w:r>
    </w:p>
    <w:p>
      <w:r>
        <w:t>Prospektive Post-Marketing-Überwachung von Liraglutid (GLP-1-Rezeptoragonist) bei 259 Erwachsenen mit Adipositas in Taiwan über 26 Wochen mit Erfassung von Sicherheit und Gewichtsveränderung.</w:t>
      </w:r>
    </w:p>
    <w:p>
      <w:r>
        <w:rPr>
          <w:b/>
        </w:rPr>
        <w:t xml:space="preserve">Ergebnis: </w:t>
      </w:r>
      <w:r>
        <w:t>Unerwünschte Ereignisse in 11,2 % (90,9 % mild); Gewichtsverlust Woche 13: −5,7 ± 3,5 kg, Woche 26: −8,5 ± 5,7 kg; ≥5 % Gewichtsabnahme bei 76,7 % in Woche 26; Blutdrucksenkung 10,4 ± 18,9 mmHg. Hauptbarriere: Medikamentenkosten (49,0 % Dosiseskalation nicht durchgeführt).</w:t>
      </w:r>
    </w:p>
    <w:p>
      <w:r>
        <w:rPr>
          <w:b/>
          <w:sz w:val="19"/>
        </w:rPr>
        <w:t xml:space="preserve">Übertragbarkeit: </w:t>
      </w:r>
      <w:r>
        <w:rPr>
          <w:sz w:val="19"/>
        </w:rPr>
        <w:t>Taiwan – asymmetrische Kostenübernahme, in Deutschland ausgeschlossen</w:t>
      </w:r>
    </w:p>
    <w:p>
      <w:r>
        <w:rPr>
          <w:color w:val="5A7D3A"/>
          <w:sz w:val="18"/>
        </w:rPr>
        <w:t>https://pubmed.ncbi.nlm.nih.gov/42762462/</w:t>
      </w:r>
    </w:p>
    <w:p>
      <w:pPr>
        <w:pStyle w:val="Heading2"/>
      </w:pPr>
      <w:r>
        <w:t>Ernährungs-Verhaltens-Risiko-Index zeigte Dosis-Wirkung mit metabolischem Syndrom in Südchina</w:t>
      </w:r>
    </w:p>
    <w:p>
      <w:r>
        <w:rPr>
          <w:i/>
          <w:color w:val="666666"/>
          <w:sz w:val="18"/>
        </w:rPr>
        <w:t>Qiu J et al.  ·  Front Endocrinol (Lausanne)  ·  04.09.2026  ·  PMID 42760998</w:t>
      </w:r>
    </w:p>
    <w:p>
      <w:r>
        <w:t>Querschnittsstudie an 14.269 ländlichen Einwohnern in Nordwestchina; Konstruktion eines Ernährungs-Verhaltens-Risiko-Index (DBRI) mittels Alkire-Foster-Methode und Assoziationen mit metabolischem Syndrom.</w:t>
      </w:r>
    </w:p>
    <w:p>
      <w:r>
        <w:rPr>
          <w:b/>
        </w:rPr>
        <w:t xml:space="preserve">Ergebnis: </w:t>
      </w:r>
      <w:r>
        <w:t>DBRI quartil 4 versus 1: OR 2,61 (95%-KI: 2,29–2,98); dose-response-beziehung signifikant (p&lt;0,001); nichtlineare beziehung mit schwellenwerteffekt nahe DBRI ≈ 0,5; Lifestyle- und Ernährungsqualitäts-Score korreliert mit MetS-Prävalenz.</w:t>
      </w:r>
    </w:p>
    <w:p>
      <w:r>
        <w:rPr>
          <w:b/>
          <w:sz w:val="19"/>
        </w:rPr>
        <w:t xml:space="preserve">Übertragbarkeit: </w:t>
      </w:r>
      <w:r>
        <w:rPr>
          <w:sz w:val="19"/>
        </w:rPr>
        <w:t>China – unterschiedliche Population, vergleichbare Erhebungsmethoden</w:t>
      </w:r>
    </w:p>
    <w:p>
      <w:r>
        <w:rPr>
          <w:color w:val="5A7D3A"/>
          <w:sz w:val="18"/>
        </w:rPr>
        <w:t>https://pubmed.ncbi.nlm.nih.gov/42760998/</w:t>
      </w:r>
    </w:p>
    <w:p>
      <w:pPr>
        <w:pStyle w:val="Heading2"/>
      </w:pPr>
      <w:r>
        <w:t>Adipositaschirurgie verminderte Leberfibrose, hinterließ aber persistierende Immunaktivierung nach 6 Jahren</w:t>
      </w:r>
    </w:p>
    <w:p>
      <w:r>
        <w:rPr>
          <w:i/>
          <w:color w:val="666666"/>
          <w:sz w:val="18"/>
        </w:rPr>
        <w:t>Onoiu AI et al.  ·  Front Immunol  ·  03.09.2026  ·  PMID 42756162</w:t>
      </w:r>
    </w:p>
    <w:p>
      <w:r>
        <w:t>Immunhistochemische Analyse von Leberbiopsien aus 3 Gruppen: Adipositas mit Leberschaden vor und nach Adipositaschirurgie, und Adipositas ohne signifikante Leberschädigung; Charakterisierung des hepatischen Immunmikromilieus.</w:t>
      </w:r>
    </w:p>
    <w:p>
      <w:r>
        <w:rPr>
          <w:b/>
        </w:rPr>
        <w:t xml:space="preserve">Ergebnis: </w:t>
      </w:r>
      <w:r>
        <w:t>Nach Chirurgie: BMI-Reduktion, Verbesserung der Leberhistologie, aber persistierende lobuläre Entzündung (Median 6 Jahre FU); erhöhte CD15+-, CD56+-, CD68+-, CD163+- und CD4+-Zellen; adaptive Immunabwehr verstärkt; "nicht-normalisiertes" Immunmprofil post-OP.</w:t>
      </w:r>
    </w:p>
    <w:p>
      <w:r>
        <w:rPr>
          <w:b/>
          <w:sz w:val="19"/>
        </w:rPr>
        <w:t xml:space="preserve">Übertragbarkeit: </w:t>
      </w:r>
      <w:r>
        <w:rPr>
          <w:sz w:val="19"/>
        </w:rPr>
        <w:t>Spanien/Katalonien – vergleichbare Adipositaschirurgie-Infrastruktur</w:t>
      </w:r>
    </w:p>
    <w:p>
      <w:r>
        <w:rPr>
          <w:color w:val="5A7D3A"/>
          <w:sz w:val="18"/>
        </w:rPr>
        <w:t>https://pubmed.ncbi.nlm.nih.gov/42756162/</w:t>
      </w:r>
    </w:p>
    <w:p>
      <w:pPr>
        <w:pStyle w:val="Heading2"/>
      </w:pPr>
      <w:r>
        <w:t>Orforglipron 36 mg zeigte größere Gewichtsverluste als 12 mg bei vergleichbarem Sicherheitsprofil</w:t>
      </w:r>
    </w:p>
    <w:p>
      <w:r>
        <w:rPr>
          <w:i/>
          <w:color w:val="666666"/>
          <w:sz w:val="18"/>
        </w:rPr>
        <w:t>Hegaz MG et al.  ·  BMC Endocr Disord  ·  15.09.2026  ·  PMID 42750018</w:t>
      </w:r>
    </w:p>
    <w:p>
      <w:r>
        <w:t>Systematische Übersichtsarbeit und Meta-Analyse von 6 RCTs mit 3459 Patienten, die Orforglipron 12 mg versus 36 mg in Adipositas ± Diabetes verglichen.</w:t>
      </w:r>
    </w:p>
    <w:p>
      <w:r>
        <w:rPr>
          <w:b/>
        </w:rPr>
        <w:t xml:space="preserve">Ergebnis: </w:t>
      </w:r>
      <w:r>
        <w:t>36 mg versus 12 mg: Gewichtsverlust −2,2 % (p&lt;0,00001); HbA1c-Reduktion unterschiedlich je Diabetes-Status; Waistumfang-Reduktion signifikant; unerwünschte Ereignisse vergleichbar; kleine ALT/AST-Erhöhungen bei 36 mg.</w:t>
      </w:r>
    </w:p>
    <w:p>
      <w:r>
        <w:rPr>
          <w:b/>
          <w:sz w:val="19"/>
        </w:rPr>
        <w:t xml:space="preserve">Übertragbarkeit: </w:t>
      </w:r>
      <w:r>
        <w:rPr>
          <w:sz w:val="19"/>
        </w:rPr>
        <w:t>Generische Frage zu GLP-1, in Deutschland nicht kostenerstattet</w:t>
      </w:r>
    </w:p>
    <w:p>
      <w:r>
        <w:rPr>
          <w:color w:val="5A7D3A"/>
          <w:sz w:val="18"/>
        </w:rPr>
        <w:t>https://pubmed.ncbi.nlm.nih.gov/42750018/</w:t>
      </w:r>
    </w:p>
    <w:p>
      <w:pPr>
        <w:pStyle w:val="Heading2"/>
      </w:pPr>
      <w:r>
        <w:t>ZTV rs10968110 und FTO rs1558902 assoziiert mit Adipositas in klinischer Psoriasis-Kohorte</w:t>
      </w:r>
    </w:p>
    <w:p>
      <w:r>
        <w:rPr>
          <w:i/>
          <w:color w:val="666666"/>
          <w:sz w:val="18"/>
        </w:rPr>
        <w:t>Zhumabekova B et al.  ·  Medicina (Kaunas)  ·  26.07.2026  ·  PMID 42654346</w:t>
      </w:r>
    </w:p>
    <w:p>
      <w:r>
        <w:t>Querschnittsstudie mit 150 kasachischen Patienten mit Psoriasis (75 Übergewicht/Adipositas, 75 Kontrollen); genetische und metabolische Korrelationen mit Adipositas untersucht.</w:t>
      </w:r>
    </w:p>
    <w:p>
      <w:r>
        <w:rPr>
          <w:b/>
        </w:rPr>
        <w:t xml:space="preserve">Ergebnis: </w:t>
      </w:r>
      <w:r>
        <w:t>Im multivariaten Modell: Triglyceride OR 4,73 (95%-KI 1,36–18,57), HbA1c OR 1,71 (95%-KI 1,09–2,91), HDL-C OR 0,36 (95%-KI 0,18–0,66); ZTV rs10968110 signifikant in multiplen genetischen Modellen; FTO rs1558902 auch signifikant; CALCRL rs696574 nicht signifikant; MDR-Analyse: ZTV als stabilstes Single-Locus-Modell.</w:t>
      </w:r>
    </w:p>
    <w:p>
      <w:r>
        <w:rPr>
          <w:b/>
          <w:sz w:val="19"/>
        </w:rPr>
        <w:t xml:space="preserve">Übertragbarkeit: </w:t>
      </w:r>
      <w:r>
        <w:rPr>
          <w:sz w:val="19"/>
        </w:rPr>
        <w:t>Kasachstan – Genotyp-Befunde explorativ, Populationsübertragung begrenzt</w:t>
      </w:r>
    </w:p>
    <w:p>
      <w:r>
        <w:rPr>
          <w:color w:val="5A7D3A"/>
          <w:sz w:val="18"/>
        </w:rPr>
        <w:t>https://pubmed.ncbi.nlm.nih.gov/42654346/</w:t>
      </w:r>
    </w:p>
    <w:p>
      <w:pPr>
        <w:pStyle w:val="Heading2"/>
      </w:pPr>
      <w:r>
        <w:t>Extreme Adipositas (BMI 106,7) führte zu Ausschluss von Staging und Standard-Therapie bei Krebs</w:t>
      </w:r>
    </w:p>
    <w:p>
      <w:r>
        <w:rPr>
          <w:i/>
          <w:color w:val="666666"/>
          <w:sz w:val="18"/>
        </w:rPr>
        <w:t>Fueth M et al.  ·  J Med Case Rep  ·  24.07.2026  ·  PMID 42498956</w:t>
      </w:r>
    </w:p>
    <w:p>
      <w:r>
        <w:t>Fallbericht einer 54-jährigen Frau mit BMI 106,7 kg/m² und kutanem Angiosarkom; Dokumentation der Infrastruktur-Barrieren bei Bildgebung, Staging und Operabilität.</w:t>
      </w:r>
    </w:p>
    <w:p>
      <w:r>
        <w:rPr>
          <w:b/>
        </w:rPr>
        <w:t xml:space="preserve">Ergebnis: </w:t>
      </w:r>
      <w:r>
        <w:t>CT, MRT, PET wegen Gantry/Tisch-Limit unmöglich in allen regionalen Zentren; Patientin erhielt nur Bettseitexzision und Amputation, entwickelte Multiorganversagen, starb Tag 24; keine kurative Therapie ermöglicht.</w:t>
      </w:r>
    </w:p>
    <w:p>
      <w:r>
        <w:rPr>
          <w:b/>
          <w:sz w:val="19"/>
        </w:rPr>
        <w:t xml:space="preserve">Übertragbarkeit: </w:t>
      </w:r>
      <w:r>
        <w:rPr>
          <w:sz w:val="19"/>
        </w:rPr>
        <w:t>Deutschland – zeigt systemische Unterversorgung bei extremer Adipositas</w:t>
      </w:r>
    </w:p>
    <w:p>
      <w:r>
        <w:rPr>
          <w:color w:val="5A7D3A"/>
          <w:sz w:val="18"/>
        </w:rPr>
        <w:t>https://pubmed.ncbi.nlm.nih.gov/42498956/</w:t>
      </w:r>
    </w:p>
    <w:p>
      <w:pPr>
        <w:pStyle w:val="Heading2"/>
      </w:pPr>
      <w:r>
        <w:t>TyG-WHtR zeigte stärkste Vorhersagekraft für Aortenstenose im Metabolischen Syndrom-Spektrum</w:t>
      </w:r>
    </w:p>
    <w:p>
      <w:r>
        <w:rPr>
          <w:i/>
          <w:color w:val="666666"/>
          <w:sz w:val="18"/>
        </w:rPr>
        <w:t>Ding J et al.  ·  Front Endocrinol (Lausanne)  ·  07.07.2026  ·  PMID 42483668</w:t>
      </w:r>
    </w:p>
    <w:p>
      <w:r>
        <w:t>Prospektive Kohortenstudie mit 363.907 Teilnehmern der UK Biobank in CKM-Stadien 0–3; Assoziationen von Triglycerid-Glucose-Indizes mit inzidentem Aortenstenose-Risiko über 15,25 Jahre Nachbeobachtung.</w:t>
      </w:r>
    </w:p>
    <w:p>
      <w:r>
        <w:rPr>
          <w:b/>
        </w:rPr>
        <w:t xml:space="preserve">Ergebnis: </w:t>
      </w:r>
      <w:r>
        <w:t>3.326 Aortenstenose-Fälle; jede 1-SD-Erhöhung TyG-Index = 8–24 % erhöhtes AS-Risiko; TyG-WHtR zeigte größte Vorhersageverbesserung (C-Index 0,806); SBP mediierte 12,1–18,1 % der Assoziation.</w:t>
      </w:r>
    </w:p>
    <w:p>
      <w:r>
        <w:rPr>
          <w:b/>
          <w:sz w:val="19"/>
        </w:rPr>
        <w:t xml:space="preserve">Übertragbarkeit: </w:t>
      </w:r>
      <w:r>
        <w:rPr>
          <w:sz w:val="19"/>
        </w:rPr>
        <w:t>UK Biobank – vergleichbares System, aber Population und Risikoprofile unterscheiden sich</w:t>
      </w:r>
    </w:p>
    <w:p>
      <w:r>
        <w:rPr>
          <w:color w:val="5A7D3A"/>
          <w:sz w:val="18"/>
        </w:rPr>
        <w:t>https://pubmed.ncbi.nlm.nih.gov/42483668/</w:t>
      </w:r>
    </w:p>
    <w:p>
      <w:pPr>
        <w:pStyle w:val="Heading1"/>
      </w:pPr>
      <w:r>
        <w:t>Aufgenommen am 20.09.2026</w:t>
      </w:r>
    </w:p>
    <w:p>
      <w:pPr>
        <w:pStyle w:val="Heading2"/>
      </w:pPr>
      <w:r>
        <w:t>Einkommenslücke überlagert Adipositastrends bei schwedischen Kindern 2008-2017</w:t>
      </w:r>
    </w:p>
    <w:p>
      <w:r>
        <w:rPr>
          <w:i/>
          <w:color w:val="666666"/>
          <w:sz w:val="18"/>
        </w:rPr>
        <w:t>Bygdell M et al.  ·  BMC Public Health  ·  18.09.2026  ·  PMID 42760546</w:t>
      </w:r>
    </w:p>
    <w:p>
      <w:r>
        <w:t>Longitudinale Analyse von 210.927 Kindern seit 1952 dokumentiert erstmals eine Umkehrung von BMI-Trends – während wohlhabende Familien stabilisierten, stieg Übergewicht bei Kindern aus armen und Migrantenfamilien weiter an.</w:t>
      </w:r>
    </w:p>
    <w:p>
      <w:r>
        <w:rPr>
          <w:b/>
        </w:rPr>
        <w:t xml:space="preserve">Ergebnis: </w:t>
      </w:r>
      <w:r>
        <w:t>Nach anfänglichem Anstieg 1974–2001 und kurzem Rückgang 2002–2006 zeigten sich ab 2008 divergente Trends: Kinder mit hochgebildeten, einheimischen Eltern mit hohem Einkommen stabilisierten sich; Kinder mit niedriger Elternausbildung verschlechterten sich unabhängig vom Einkommen und Herkunftsland. Niedriges Elterneinkommen war der dominanteste Risikofaktor.</w:t>
      </w:r>
    </w:p>
    <w:p>
      <w:r>
        <w:rPr>
          <w:b/>
          <w:sz w:val="19"/>
        </w:rPr>
        <w:t xml:space="preserve">Übertragbarkeit: </w:t>
      </w:r>
      <w:r>
        <w:rPr>
          <w:sz w:val="19"/>
        </w:rPr>
        <w:t>Schweden, longitudinales Bevölkerungskohorten-Design mit Sozialstatusangaben</w:t>
      </w:r>
    </w:p>
    <w:p>
      <w:r>
        <w:rPr>
          <w:color w:val="5A7D3A"/>
          <w:sz w:val="18"/>
        </w:rPr>
        <w:t>https://pubmed.ncbi.nlm.nih.gov/42760546/</w:t>
      </w:r>
    </w:p>
    <w:p>
      <w:pPr>
        <w:pStyle w:val="Heading2"/>
      </w:pPr>
      <w:r>
        <w:t>Strukturelles Screening auf Metabolische Krankheit bei Kindern unter 12 Jahren verbessert langfristige Kardiometabolik</w:t>
      </w:r>
    </w:p>
    <w:p>
      <w:r>
        <w:rPr>
          <w:i/>
          <w:color w:val="666666"/>
          <w:sz w:val="18"/>
        </w:rPr>
        <w:t>Lindquist M et al.  ·  Mo Med  ·  Juli 2026  ·  PMID 42757297</w:t>
      </w:r>
    </w:p>
    <w:p>
      <w:r>
        <w:t>Narrative Übersichtsarbeit, die zeigt, dass Wartebeobachtung ('watchful waiting') bei adipösen Kindern unter 12 Jahren fehlschlägt – bereits massiv Insulinresistenz, Fettstoffwechselstörung und Fettleber vorhanden sind, Pubertät das nicht rückgängig macht.</w:t>
      </w:r>
    </w:p>
    <w:p>
      <w:r>
        <w:rPr>
          <w:b/>
        </w:rPr>
        <w:t xml:space="preserve">Ergebnis: </w:t>
      </w:r>
      <w:r>
        <w:t>Evidenzübersicht zeigt: Adipöse Kinder unter 12 Jahren haben bereits klinisch relevante Insulinresistenz (HOMA-IR erhöht), Dyslipidämie, Dysglykämie und metabolische Dysfunktion-assoziierte Steatose-Hepatitis (MASLD) – oft asymptomatisch. Pubertät verschärft durch physiologische Insulinresistenz den Verlauf statt ihn zu verbessern. Metabolische Memoria führt zu potenziell irreversibler Schädigung in kritischer Entwicklungsphase.</w:t>
      </w:r>
    </w:p>
    <w:p>
      <w:r>
        <w:rPr>
          <w:b/>
          <w:sz w:val="19"/>
        </w:rPr>
        <w:t xml:space="preserve">Übertragbarkeit: </w:t>
      </w:r>
      <w:r>
        <w:rPr>
          <w:sz w:val="19"/>
        </w:rPr>
        <w:t>USA-Übersicht, aber Biologie des metabolischen Gedächtnisses unabhängig von System</w:t>
      </w:r>
    </w:p>
    <w:p>
      <w:r>
        <w:rPr>
          <w:color w:val="5A7D3A"/>
          <w:sz w:val="18"/>
        </w:rPr>
        <w:t>https://pubmed.ncbi.nlm.nih.gov/42757297/</w:t>
      </w:r>
    </w:p>
    <w:p>
      <w:pPr>
        <w:pStyle w:val="Heading2"/>
      </w:pPr>
      <w:r>
        <w:t>Ständige Erreichbarkeit in der Arbeit erhöht Übergewichtsrisiko bei chinesischen Arbeitnehmern um 1,9 %</w:t>
      </w:r>
    </w:p>
    <w:p>
      <w:r>
        <w:rPr>
          <w:i/>
          <w:color w:val="666666"/>
          <w:sz w:val="18"/>
        </w:rPr>
        <w:t>Wang H et al.  ·  Front Public Health  ·  03.09.2026  ·  PMID 42756165</w:t>
      </w:r>
    </w:p>
    <w:p>
      <w:r>
        <w:t>Analyse von 16.969 Beobachtungen aus China Family Panel Studies zur Assoziation zwischen Anforderung ständiger beruflicher Verfügbarkeit (WREA) und Übergewicht/Adipositas mit Subgruppenanalysen.</w:t>
      </w:r>
    </w:p>
    <w:p>
      <w:r>
        <w:rPr>
          <w:b/>
        </w:rPr>
        <w:t xml:space="preserve">Ergebnis: </w:t>
      </w:r>
      <w:r>
        <w:t>WREA war mit erhöhter Prävalenz von Übergewicht (durchschnittlicher marginaler Effekt 0,019, 95%-KI 0,011–0,028) und Adipositas (AME 0,012, 95%-KI 0,007–0,019) assoziiert. Effekte stärker bei Männern, mittlerer Bildung und Alter 30–50 Jahre. Effekte variierten nach WREA-Typ (vertragsbasiert, digital aktiviert). Längsanalyse lieferte keine Evidenz für prospektive Assoziation. 53,29 % Arbeiter exponiert.</w:t>
      </w:r>
    </w:p>
    <w:p>
      <w:r>
        <w:rPr>
          <w:b/>
          <w:sz w:val="19"/>
        </w:rPr>
        <w:t xml:space="preserve">Übertragbarkeit: </w:t>
      </w:r>
      <w:r>
        <w:rPr>
          <w:sz w:val="19"/>
        </w:rPr>
        <w:t>China, aber Arbeitsstress-Adipositas-Assoziation generisch, Modell replizierbar</w:t>
      </w:r>
    </w:p>
    <w:p>
      <w:r>
        <w:rPr>
          <w:color w:val="5A7D3A"/>
          <w:sz w:val="18"/>
        </w:rPr>
        <w:t>https://pubmed.ncbi.nlm.nih.gov/42756165/</w:t>
      </w:r>
    </w:p>
    <w:p>
      <w:pPr>
        <w:pStyle w:val="Heading2"/>
      </w:pPr>
      <w:r>
        <w:t>Gewichtszentrisch vs. nicht-gewichtszentrisch: Adipositasbehandlung in Kindermedizin darf nicht stigmatisierend wirken</w:t>
      </w:r>
    </w:p>
    <w:p>
      <w:r>
        <w:rPr>
          <w:i/>
          <w:color w:val="666666"/>
          <w:sz w:val="18"/>
        </w:rPr>
        <w:t>Asso Ministral L et al.  ·  Rev Esp Salud Publica  ·  11.09.2026  ·  PMID 42752590</w:t>
      </w:r>
    </w:p>
    <w:p>
      <w:r>
        <w:t>Katalanische Public-Health-Stellungnahme, dass systematische Gewichtsmessung bei Kindern Selbstwertgefühl schadet und soziale Determinanten ignoriert – Aufruf zu nicht-stigmatisierendem Ansatz, der Wohlbefinden, Bewegung und Lebensbedingungen statt BMI-Reduktion in Mittelpunkt stellt.</w:t>
      </w:r>
    </w:p>
    <w:p>
      <w:r>
        <w:rPr>
          <w:b/>
        </w:rPr>
        <w:t xml:space="preserve">Ergebnis: </w:t>
      </w:r>
      <w:r>
        <w:t>Evidenzbasierte Kritik am Gewichtszentrismen: Diese Herangehensweise ignoriert genetische und soziale Determinanten, schafft Scham und Vermeidungsverhalten bei Kindern, verschlechtert emotionales Wohlbefinden. Empfehlung: Gewichtsmessungen nur begründet, mit Einwilligung, ohne Kommentare zur Entwicklung; Fokus statt auf Lebensbedingungen (Lebensmittelumgebung, Aktivitätszugang, Mittagsverpflegung, finanzielle Barrieren).</w:t>
      </w:r>
    </w:p>
    <w:p>
      <w:r>
        <w:rPr>
          <w:b/>
          <w:sz w:val="19"/>
        </w:rPr>
        <w:t xml:space="preserve">Übertragbarkeit: </w:t>
      </w:r>
      <w:r>
        <w:rPr>
          <w:sz w:val="19"/>
        </w:rPr>
        <w:t>Spanien/Katalonien, europäisches Gesundheitssystem mit vergleichbaren pädiatrischen Strukturen</w:t>
      </w:r>
    </w:p>
    <w:p>
      <w:r>
        <w:rPr>
          <w:color w:val="5A7D3A"/>
          <w:sz w:val="18"/>
        </w:rPr>
        <w:t>https://pubmed.ncbi.nlm.nih.gov/42752590/</w:t>
      </w:r>
    </w:p>
    <w:p>
      <w:pPr>
        <w:pStyle w:val="Heading2"/>
      </w:pPr>
      <w:r>
        <w:t>GLP-1-Rezeptoragonisten senken Nierencompliance-Risiko unterschiedlich nach Prognose</w:t>
      </w:r>
    </w:p>
    <w:p>
      <w:r>
        <w:rPr>
          <w:i/>
          <w:color w:val="666666"/>
          <w:sz w:val="18"/>
        </w:rPr>
        <w:t>Xu Y et al.  ·  Kidney Int  ·  24.07.2026  ·  PMID 42498061</w:t>
      </w:r>
    </w:p>
    <w:p>
      <w:r>
        <w:t>Heterogenitätsanalyse an 28.747 Diabetespatienten in Stockholm zur Frage, welche Patienten von GLP-1-Agonisten bei der Nierenprotektion profitieren – im Unterschied zu durchschnittlichen Zulassungsstudien.</w:t>
      </w:r>
    </w:p>
    <w:p>
      <w:r>
        <w:rPr>
          <w:b/>
        </w:rPr>
        <w:t xml:space="preserve">Ergebnis: </w:t>
      </w:r>
      <w:r>
        <w:t>GLP-1RA senkte Fünf-Jahres-Nierenenergierisiko durchschnittlich um 0,72 % absolut (HR 0,84, 95%-KI 0,72–0,97); Effekt war aber hochgradig heterogen: Patienten in höchstem Quartil des KFRE-Risikos erlebten 2,76 % absoluten Risikoreduktion (HR 0,70), während die niedrigsten Risikogruppen keinen Nutzen zeigten. Prädiktoren für Vorteil: niedriges eGFR, schneller vorheriger eGFR-Abfall, Albuminurie, höheres HbA1c.</w:t>
      </w:r>
    </w:p>
    <w:p>
      <w:r>
        <w:rPr>
          <w:b/>
          <w:sz w:val="19"/>
        </w:rPr>
        <w:t xml:space="preserve">Übertragbarkeit: </w:t>
      </w:r>
      <w:r>
        <w:rPr>
          <w:sz w:val="19"/>
        </w:rPr>
        <w:t>Schweden, vergleichbares Versicherungssystem, aber Kostenübernahme GLP-1 dort anderes als Deutschland</w:t>
      </w:r>
    </w:p>
    <w:p>
      <w:r>
        <w:rPr>
          <w:color w:val="5A7D3A"/>
          <w:sz w:val="18"/>
        </w:rPr>
        <w:t>https://pubmed.ncbi.nlm.nih.gov/42498061/</w:t>
      </w:r>
    </w:p>
    <w:p>
      <w:pPr>
        <w:pStyle w:val="Heading2"/>
      </w:pPr>
      <w:r>
        <w:t>Metabolisches Syndrom erhöht Magenkrebsrisiko progressiv – Bauchumfang ist stärkster Komponenten-Marker</w:t>
      </w:r>
    </w:p>
    <w:p>
      <w:r>
        <w:rPr>
          <w:i/>
          <w:color w:val="666666"/>
          <w:sz w:val="18"/>
        </w:rPr>
        <w:t>Wang GQ et al.  ·  Cancer Res Commun  ·  01.08.2026  ·  PMID 42490138</w:t>
      </w:r>
    </w:p>
    <w:p>
      <w:r>
        <w:t>Prospektive Kohortenanalyse von 471.540 UK-Biobank-Teilnehmern zum Zusammenhang zwischen MetS und inzidentem Magenkrebs über 6,5 Jahre mit Subgruppenanalysen nach Sublokalisation.</w:t>
      </w:r>
    </w:p>
    <w:p>
      <w:r>
        <w:rPr>
          <w:b/>
        </w:rPr>
        <w:t xml:space="preserve">Ergebnis: </w:t>
      </w:r>
      <w:r>
        <w:t>Metabolisches Syndrom war mit erhöhtem Magenkrebsrisiko assoziiert (HR 1,36, 95%-KI 1,08–1,71). Risiko stieg mit Anzahl der MetS-Komponenten (p für Trend = 0,033). Für kardiales Magenkarzinom stärker (HR 1,48, 95%-KI 1,03–2,11) als für nicht-kardiales (HR 1,28, 95%-KI 0,95–1,73, Heterogenität p = 0,547). Bauchumfang zeigte konsistentest Komponenten-Signal. 332 Fälle über 6,5 Jahre in großer prospektiver Kohorte.</w:t>
      </w:r>
    </w:p>
    <w:p>
      <w:r>
        <w:rPr>
          <w:b/>
          <w:sz w:val="19"/>
        </w:rPr>
        <w:t xml:space="preserve">Übertragbarkeit: </w:t>
      </w:r>
      <w:r>
        <w:rPr>
          <w:sz w:val="19"/>
        </w:rPr>
        <w:t>UK Biobank, aber Befund zur metabolischen Dysfunktion unabhängig von System übertragbar</w:t>
      </w:r>
    </w:p>
    <w:p>
      <w:r>
        <w:rPr>
          <w:color w:val="5A7D3A"/>
          <w:sz w:val="18"/>
        </w:rPr>
        <w:t>https://pubmed.ncbi.nlm.nih.gov/42490138/</w:t>
      </w:r>
    </w:p>
    <w:p>
      <w:pPr>
        <w:pStyle w:val="Heading1"/>
      </w:pPr>
      <w:r>
        <w:t>Aufgenommen am 19.09.2026</w:t>
      </w:r>
    </w:p>
    <w:p>
      <w:pPr>
        <w:pStyle w:val="Heading2"/>
      </w:pPr>
      <w:r>
        <w:t>Ernährungs- und Reproduktionsfolgefragen nach Adipositastherapie: prospektive Kohortenstudie</w:t>
      </w:r>
    </w:p>
    <w:p>
      <w:r>
        <w:rPr>
          <w:i/>
          <w:color w:val="666666"/>
          <w:sz w:val="18"/>
        </w:rPr>
        <w:t>Schipper RM et al.  ·  BMJ Open  ·  18.09.2026  ·  PMID 42760085</w:t>
      </w:r>
    </w:p>
    <w:p>
      <w:r>
        <w:t>Prospektive Multizenterstudie zu Nährstoffstatus, Ernährung und Gesundheitsfolgen bei mindestens 1.150 Frauen unter chirurgischer oder medikamentöser Adipositastherapie über zehn Jahre, einschließlich integrierter Schwangerschafts- und Geburtenkohort.</w:t>
      </w:r>
    </w:p>
    <w:p>
      <w:r>
        <w:rPr>
          <w:b/>
        </w:rPr>
        <w:t xml:space="preserve">Ergebnis: </w:t>
      </w:r>
      <w:r>
        <w:t>Studie verfolgt präbehandlung, 3 Monate, 6 Monate und jährlich bis 10 Jahre nach Therapie. Erfasst muskuloskelettale, reproduktive, endokrine, gastrointestinale und mentale Gesundheit sowie Nährstoffstatus, Ernährung, fetale Entwicklung und Muttermilchzusammensetzung. Keine Ergebnisse verfügbar (Studienprotokoll).</w:t>
      </w:r>
    </w:p>
    <w:p>
      <w:r>
        <w:rPr>
          <w:b/>
          <w:sz w:val="19"/>
        </w:rPr>
        <w:t xml:space="preserve">Übertragbarkeit: </w:t>
      </w:r>
      <w:r>
        <w:rPr>
          <w:sz w:val="19"/>
        </w:rPr>
        <w:t>Niederlande, strukturierte Langzeitverfolgung wie in europäischen Registern.</w:t>
      </w:r>
    </w:p>
    <w:p>
      <w:r>
        <w:rPr>
          <w:color w:val="5A7D3A"/>
          <w:sz w:val="18"/>
        </w:rPr>
        <w:t>https://pubmed.ncbi.nlm.nih.gov/42760085/</w:t>
      </w:r>
    </w:p>
    <w:p>
      <w:pPr>
        <w:pStyle w:val="Heading2"/>
      </w:pPr>
      <w:r>
        <w:t>Semaglutid bei Prader-Willi-Syndrom: Gewichtsstabilisierung und Hyperphagiereduktion über 17 Monate</w:t>
      </w:r>
    </w:p>
    <w:p>
      <w:r>
        <w:rPr>
          <w:i/>
          <w:color w:val="666666"/>
          <w:sz w:val="18"/>
        </w:rPr>
        <w:t>Ahmed S et al.  ·  Front Endocrinol (Lausanne)  ·  03.09.2026  ·  PMID 42755517</w:t>
      </w:r>
    </w:p>
    <w:p>
      <w:r>
        <w:t>Retrospektive offene Beobachtungskohort von 12 Erwachsenen mit PWS und Übergewicht/Adipositas unter Semaglutid-Behandlung (Median 17,2 Monate, Dosis bis 2,4 mg wöchentlich).</w:t>
      </w:r>
    </w:p>
    <w:p>
      <w:r>
        <w:rPr>
          <w:b/>
        </w:rPr>
        <w:t xml:space="preserve">Ergebnis: </w:t>
      </w:r>
      <w:r>
        <w:t>Kein signifikanter Gesamtgewichtsverlust, aber Stabilisierung: Post –3,1±9,9% versus Pre +5,7±5,6% (d=–0,72, p=0,037). Hyperphagia-Fragebogen sank um 7,3±6,1 (n=11, d=–1,19, p=0,003). HbA1c verbessert in erhöhten Baseline-Fällen (n=6, –4,2±4,9%, p=0,13). Gastrointestinale Nebenwirkungen bei 25%, ohne Abbruch. 75% mit T2DM.</w:t>
      </w:r>
    </w:p>
    <w:p>
      <w:r>
        <w:rPr>
          <w:b/>
          <w:sz w:val="19"/>
        </w:rPr>
        <w:t xml:space="preserve">Übertragbarkeit: </w:t>
      </w:r>
      <w:r>
        <w:rPr>
          <w:sz w:val="19"/>
        </w:rPr>
        <w:t>UK-Klinik; PWS ist seltene Erkrankung, Ergebnis aber auf Hyperphagia-Kontrolle fokussiert.</w:t>
      </w:r>
    </w:p>
    <w:p>
      <w:r>
        <w:rPr>
          <w:color w:val="5A7D3A"/>
          <w:sz w:val="18"/>
        </w:rPr>
        <w:t>https://pubmed.ncbi.nlm.nih.gov/42755517/</w:t>
      </w:r>
    </w:p>
    <w:p>
      <w:pPr>
        <w:pStyle w:val="Heading2"/>
      </w:pPr>
      <w:r>
        <w:t>COVID-19-Pandemie erhöhte Übergewicht bei chinesischen Jugendlichen um 1,28-fach, normalisierte Kontrollphase reversibelnd</w:t>
      </w:r>
    </w:p>
    <w:p>
      <w:r>
        <w:rPr>
          <w:i/>
          <w:color w:val="666666"/>
          <w:sz w:val="18"/>
        </w:rPr>
        <w:t>Maitituersun Y et al.  ·  BMC Pediatr  ·  07.09.2026  ·  PMID 42754879</w:t>
      </w:r>
    </w:p>
    <w:p>
      <w:r>
        <w:t>Längsschnittstudie über fünf Jahre (2017–2021) mit 120.459 chinesischen Jugendlichen (13–18 Jahre) zu BMI-Änderungen während COVID-19-Pandemie und deren Normalisierungsphase.</w:t>
      </w:r>
    </w:p>
    <w:p>
      <w:r>
        <w:rPr>
          <w:b/>
        </w:rPr>
        <w:t xml:space="preserve">Ergebnis: </w:t>
      </w:r>
      <w:r>
        <w:t>2020: BMI +0,2 kg/m² versus Vorjahre, 2021 rückläufig. 2020: Übergewicht OR=1,280 (95% KI 1,199–1,366), Übergewicht+Adipositas OR=1,364 (95% KI 1,286–1,448) versus 2017. 2021: Adipositas-Risiko sank auf OR=1,201 (95% KI 1,131–1,275). Mädchen stärker betroffen als Jungen. Untergwicht 2020 reduziert (OR=0,668), 2021 erholt (OR=0,917).</w:t>
      </w:r>
    </w:p>
    <w:p>
      <w:r>
        <w:rPr>
          <w:b/>
          <w:sz w:val="19"/>
        </w:rPr>
        <w:t xml:space="preserve">Übertragbarkeit: </w:t>
      </w:r>
      <w:r>
        <w:rPr>
          <w:sz w:val="19"/>
        </w:rPr>
        <w:t>China-Daten; zeigt populationsweite Reaktion auf Lockdown und Erholung—strukturelle Faktoren in Deutschland zu prüfen.</w:t>
      </w:r>
    </w:p>
    <w:p>
      <w:r>
        <w:rPr>
          <w:color w:val="5A7D3A"/>
          <w:sz w:val="18"/>
        </w:rPr>
        <w:t>https://pubmed.ncbi.nlm.nih.gov/42754879/</w:t>
      </w:r>
    </w:p>
    <w:p>
      <w:pPr>
        <w:pStyle w:val="Heading2"/>
      </w:pPr>
      <w:r>
        <w:t>Adipositas, nicht Hyperandrogenismus, treibt Stoffwechselstörung bei PCOS: Glukose-Insulin-Dynamik bei 71 Frauen</w:t>
      </w:r>
    </w:p>
    <w:p>
      <w:r>
        <w:rPr>
          <w:i/>
          <w:color w:val="666666"/>
          <w:sz w:val="18"/>
        </w:rPr>
        <w:t>Naderi P et al.  ·  Front Endocrinol (Lausanne)  ·  31.08.2026  ·  PMID 42741014</w:t>
      </w:r>
    </w:p>
    <w:p>
      <w:r>
        <w:t>Retrospektive Querschnittstudie zu Glukose-Insulin-Dynamik bei 71 PCOS-Frauen, stratifiziert nach BMI-Status (&lt;30, n=37 vs. ≥30, n=34) mit 3-Stunden-OGTT.</w:t>
      </w:r>
    </w:p>
    <w:p>
      <w:r>
        <w:rPr>
          <w:b/>
        </w:rPr>
        <w:t xml:space="preserve">Ergebnis: </w:t>
      </w:r>
      <w:r>
        <w:t>Adipöse Frauen älter, höhere Nüchternglukose, HbA1c nur numerisch höher. OGTT zeigte höhere Glukose/Insulin-Konzentrationen, niedrigere Insulinsensitivität (Matsuda-Index), höhere Insulinresistenz (HOMA-IR) und größere Glukoseexposition. PCOM, Rotterdam-Phänotyp, Androgene vergleichbar. BMI einziger konsistenter unabhängiger Prädiktor aller Stoffwechselparameter (p&lt;0,05).</w:t>
      </w:r>
    </w:p>
    <w:p>
      <w:r>
        <w:rPr>
          <w:b/>
          <w:sz w:val="19"/>
        </w:rPr>
        <w:t xml:space="preserve">Übertragbarkeit: </w:t>
      </w:r>
      <w:r>
        <w:rPr>
          <w:sz w:val="19"/>
        </w:rPr>
        <w:t>Deutschland, deutsches Zentrum; zeigt Äquivalenz von BMI-zentrierter Risikostratifikation bei PCOS.</w:t>
      </w:r>
    </w:p>
    <w:p>
      <w:r>
        <w:rPr>
          <w:color w:val="5A7D3A"/>
          <w:sz w:val="18"/>
        </w:rPr>
        <w:t>https://pubmed.ncbi.nlm.nih.gov/42741014/</w:t>
      </w:r>
    </w:p>
    <w:p>
      <w:pPr>
        <w:pStyle w:val="Heading2"/>
      </w:pPr>
      <w:r>
        <w:t>Mikroernährungsstatus bei schwerer Adipositas: Vitamin- und Mineralienverarmung über das Gewichtsspektrum</w:t>
      </w:r>
    </w:p>
    <w:p>
      <w:r>
        <w:rPr>
          <w:i/>
          <w:color w:val="666666"/>
          <w:sz w:val="18"/>
        </w:rPr>
        <w:t>Sabados H et al.  ·  Nutrients  ·  07.09.2026  ·  PMID 42739110</w:t>
      </w:r>
    </w:p>
    <w:p>
      <w:r>
        <w:t>Retrospektive Einzelzentrum-Kohortenstudie mit 247 Erwachsenen (BMI 30–91 kg/m², Mittel 48,7±8,7) zur Erfassung von Vitamin-B- und Mineralstoffkonzentrationen vor bariatrischer Chirurgie.</w:t>
      </w:r>
    </w:p>
    <w:p>
      <w:r>
        <w:rPr>
          <w:b/>
        </w:rPr>
        <w:t xml:space="preserve">Ergebnis: </w:t>
      </w:r>
      <w:r>
        <w:t>Vitamin D, Folat und Vitamin B6 sanken progressiv mit zunehmend BMI. Vitamin D korrelierte invers mit HbA1c. HbA1c, Leberenzyme (ALAT, γ-GT) und Körperzusammensetzung (Taillenumfang, Viszeralfett) waren stärkste Diskriminatoren für T2DM, Steatose und hohes BMI. MASLD+T2DM zeigte stärkste B6-Verarmung; Vitamin D niedrig in allen Subgruppen.</w:t>
      </w:r>
    </w:p>
    <w:p>
      <w:r>
        <w:rPr>
          <w:b/>
          <w:sz w:val="19"/>
        </w:rPr>
        <w:t xml:space="preserve">Übertragbarkeit: </w:t>
      </w:r>
      <w:r>
        <w:rPr>
          <w:sz w:val="19"/>
        </w:rPr>
        <w:t>Deutschland, Saarländische Klinik; Mikroernährungsdaten vor geplanter Chirurgie übertragbar.</w:t>
      </w:r>
    </w:p>
    <w:p>
      <w:r>
        <w:rPr>
          <w:color w:val="5A7D3A"/>
          <w:sz w:val="18"/>
        </w:rPr>
        <w:t>https://pubmed.ncbi.nlm.nih.gov/42739110/</w:t>
      </w:r>
    </w:p>
    <w:p>
      <w:pPr>
        <w:pStyle w:val="Heading2"/>
      </w:pPr>
      <w:r>
        <w:t>Lebensverlauf-Adipositas und Osteoporoserisiko: 357.903 UK-Biobank-Teilnehmer über 15,7 Jahre</w:t>
      </w:r>
    </w:p>
    <w:p>
      <w:r>
        <w:rPr>
          <w:i/>
          <w:color w:val="666666"/>
          <w:sz w:val="18"/>
        </w:rPr>
        <w:t>Liu H et al.  ·  Front Endocrinol (Lausanne)  ·  28.08.2026  ·  PMID 42729203</w:t>
      </w:r>
    </w:p>
    <w:p>
      <w:r>
        <w:t>Prospektive Kohortenstudie zu Assoziation zwischen Geburtsmasse, Kindheitsgewicht und Erwachsenen-BMI mit Osteoporoserisiko im UK Biobank über Median 15,7 Jahre.</w:t>
      </w:r>
    </w:p>
    <w:p>
      <w:r>
        <w:rPr>
          <w:b/>
        </w:rPr>
        <w:t xml:space="preserve">Ergebnis: </w:t>
      </w:r>
      <w:r>
        <w:t>11.905 Osteoporosefälle (3,3%, 82% Frauen). Niedriges Geburtsgewicht, dünnere Kindheit und niedriger Erwachsenen-BMI erhöht Osteoporoserisiko: Untergewicht HR=2,41; Übergewicht HR=0,63; Adipositas HR=0,50. Adult BMI stärkster unabhängiger Effekt. Mediation: Adult BMI erklärt 67,1% der Geburt- und 56,1% der Kindheitseffekte. Proteomik identifizierte 95 Mediatoren (ADIPOQ 25,6%, SOST 16,7%).</w:t>
      </w:r>
    </w:p>
    <w:p>
      <w:r>
        <w:rPr>
          <w:b/>
          <w:sz w:val="19"/>
        </w:rPr>
        <w:t xml:space="preserve">Übertragbarkeit: </w:t>
      </w:r>
      <w:r>
        <w:rPr>
          <w:sz w:val="19"/>
        </w:rPr>
        <w:t>UK-Daten, Langzeitverlauf und Risikostratifizierung vergleichbar mit europäischen Kohorten.</w:t>
      </w:r>
    </w:p>
    <w:p>
      <w:r>
        <w:rPr>
          <w:color w:val="5A7D3A"/>
          <w:sz w:val="18"/>
        </w:rPr>
        <w:t>https://pubmed.ncbi.nlm.nih.gov/42729203/</w:t>
      </w:r>
    </w:p>
    <w:p>
      <w:pPr>
        <w:pStyle w:val="Heading1"/>
      </w:pPr>
      <w:r>
        <w:t>Aufgenommen am 18.09.2026</w:t>
      </w:r>
    </w:p>
    <w:p>
      <w:pPr>
        <w:pStyle w:val="Heading2"/>
      </w:pPr>
      <w:r>
        <w:t>Obesitäts-Hypoventilationssyndrom auf Intensivstation: 3 % der adipösen Patienten nicht erkannt</w:t>
      </w:r>
    </w:p>
    <w:p>
      <w:r>
        <w:rPr>
          <w:i/>
          <w:color w:val="666666"/>
          <w:sz w:val="18"/>
        </w:rPr>
        <w:t>Lee KJ et al.  ·  Korean J Intern Med  ·  01.09.2026  ·  PMID 42754525</w:t>
      </w:r>
    </w:p>
    <w:p>
      <w:r>
        <w:t>Retrospektive Kohortenstudie bei 3.660 MICU-Patienten (531 adipös, BMI≥27) in Seoul (2016–2023) zum Anteil und Erkennungsrate des wahrscheinlichen Obesitäts-Hypoventilationssyndroms.</w:t>
      </w:r>
    </w:p>
    <w:p>
      <w:r>
        <w:rPr>
          <w:b/>
        </w:rPr>
        <w:t xml:space="preserve">Ergebnis: </w:t>
      </w:r>
      <w:r>
        <w:t>Wahrscheinliches OHS in 0,4 % aller MICU-Patienten (3,0 % adipös, 6,5 % bei BMI≥30). Längere Krankenhausverweildauer trotz niedrigerer Aufnahmeschwere. Mortalität nach IPTW-Anpassung nicht signifikant unterschiedlich. Unterdiagnose zeigt Erkennungslücke.</w:t>
      </w:r>
    </w:p>
    <w:p>
      <w:r>
        <w:rPr>
          <w:b/>
          <w:sz w:val="19"/>
        </w:rPr>
        <w:t xml:space="preserve">Übertragbarkeit: </w:t>
      </w:r>
      <w:r>
        <w:rPr>
          <w:sz w:val="19"/>
        </w:rPr>
        <w:t>Südkorea, Universitätsklinikum; kritische Pflege, vergleichbare diagnostische Standards</w:t>
      </w:r>
    </w:p>
    <w:p>
      <w:r>
        <w:rPr>
          <w:color w:val="5A7D3A"/>
          <w:sz w:val="18"/>
        </w:rPr>
        <w:t>https://pubmed.ncbi.nlm.nih.gov/42754525/</w:t>
      </w:r>
    </w:p>
    <w:p>
      <w:pPr>
        <w:pStyle w:val="Heading2"/>
      </w:pPr>
      <w:r>
        <w:t>Semaglutid bei antipsychotika-assoziierter Adipositas in Jugendlichen: Machbarkeitsstudie</w:t>
      </w:r>
    </w:p>
    <w:p>
      <w:r>
        <w:rPr>
          <w:i/>
          <w:color w:val="666666"/>
          <w:sz w:val="18"/>
        </w:rPr>
        <w:t>Giraldi LV et al.  ·  BMJ Open  ·  17.09.2026  ·  PMID 42754274</w:t>
      </w:r>
    </w:p>
    <w:p>
      <w:r>
        <w:t>Open-label Machbarkeitsstudie an 34 Jugendlichen (12–18 Jahre) mit antipsychotika-bedingter Adipositas in Kopenhagen (36 Wochen Semaglutid bis 2,4 mg/Woche plus Standardversorgung).</w:t>
      </w:r>
    </w:p>
    <w:p>
      <w:r>
        <w:rPr>
          <w:b/>
        </w:rPr>
        <w:t xml:space="preserve">Ergebnis: </w:t>
      </w:r>
      <w:r>
        <w:t>Primäre Zielgröße: Komplettierungsrate der Studie. Sekundär: BMI-SD-Score, Körperzusammensetzung, metabolische und psychiatrische Parameter. Ergebnisse nicht im Abstract genannt, da Machbarkeitsstudie mit anschließender Observationsphase (18 Monate).</w:t>
      </w:r>
    </w:p>
    <w:p>
      <w:r>
        <w:rPr>
          <w:b/>
          <w:sz w:val="19"/>
        </w:rPr>
        <w:t xml:space="preserve">Übertragbarkeit: </w:t>
      </w:r>
      <w:r>
        <w:rPr>
          <w:sz w:val="19"/>
        </w:rPr>
        <w:t>Dänemark, vergleichbare Sozialversicherung; GLP-1RA als Adipositas-Arzneimittel unter §34 SGB V nicht erstattet</w:t>
      </w:r>
    </w:p>
    <w:p>
      <w:r>
        <w:rPr>
          <w:color w:val="5A7D3A"/>
          <w:sz w:val="18"/>
        </w:rPr>
        <w:t>https://pubmed.ncbi.nlm.nih.gov/42754274/</w:t>
      </w:r>
    </w:p>
    <w:p>
      <w:pPr>
        <w:pStyle w:val="Heading2"/>
      </w:pPr>
      <w:r>
        <w:t>Bluttesttrends besser als Einzelwert zur Krebserkennung bei unerwartetem Gewichtsverlust</w:t>
      </w:r>
    </w:p>
    <w:p>
      <w:r>
        <w:rPr>
          <w:i/>
          <w:color w:val="666666"/>
          <w:sz w:val="18"/>
        </w:rPr>
        <w:t>Nicholson BD et al.  ·  PLoS Med  ·  17.09.2026  ·  PMID 42752402</w:t>
      </w:r>
    </w:p>
    <w:p>
      <w:r>
        <w:t>Retrospektive Kohortenstudie an 275.205 Patienten mit unerwartetem Gewichtsverlust in englischer Primärversorgung (2000–2018) zum Vergleich des Diskriminationsvermögens von Bluttesttrends vs. Einzelwert-Abnormitäten für Krebsdiagnose.</w:t>
      </w:r>
    </w:p>
    <w:p>
      <w:r>
        <w:rPr>
          <w:b/>
        </w:rPr>
        <w:t xml:space="preserve">Ergebnis: </w:t>
      </w:r>
      <w:r>
        <w:t>Unter 13.798 Krebsfällen (5,0 %): Bluttesttrends nach Alters- und Geschlechtsanpassung stärker diskriminativ als Einzelwerte (höchste AUC 0,82 [0,81–0,83]). 26 Trends für Gesamtkrebs, mittleres Zellvolumen für Darm/Lymphom, WBC/Neutrophile für Lungenkrebs, multiple Parameter für Prostatakarzinom bessere Vorhersage.</w:t>
      </w:r>
    </w:p>
    <w:p>
      <w:r>
        <w:rPr>
          <w:b/>
          <w:sz w:val="19"/>
        </w:rPr>
        <w:t xml:space="preserve">Übertragbarkeit: </w:t>
      </w:r>
      <w:r>
        <w:rPr>
          <w:sz w:val="19"/>
        </w:rPr>
        <w:t>Englische Primärversorgung, Clinical Practice Research Datalink; System vergleichbar mit deutschen Hausarztdaten</w:t>
      </w:r>
    </w:p>
    <w:p>
      <w:r>
        <w:rPr>
          <w:color w:val="5A7D3A"/>
          <w:sz w:val="18"/>
        </w:rPr>
        <w:t>https://pubmed.ncbi.nlm.nih.gov/42752402/</w:t>
      </w:r>
    </w:p>
    <w:p>
      <w:pPr>
        <w:pStyle w:val="Heading2"/>
      </w:pPr>
      <w:r>
        <w:t>Vascular Alter als Prädiktor für metabolisches Syndrom bei spanischen Berufstätigen</w:t>
      </w:r>
    </w:p>
    <w:p>
      <w:r>
        <w:rPr>
          <w:i/>
          <w:color w:val="666666"/>
          <w:sz w:val="18"/>
        </w:rPr>
        <w:t>Montero Muñoz N et al.  ·  Endocrinol Diabetes Nutr (Engl Ed)  ·  Aug. 2026  ·  PMID 42744528</w:t>
      </w:r>
    </w:p>
    <w:p>
      <w:r>
        <w:t>Querschnittsstudie an 336.450 erwerbstätigen Spaniern (2018–2022) zur Vorhersagekraft des geschätzten vaskulären Alters nach dem Framingham-Modell für die Früherkennung metabolischer Störungen.</w:t>
      </w:r>
    </w:p>
    <w:p>
      <w:r>
        <w:rPr>
          <w:b/>
        </w:rPr>
        <w:t xml:space="preserve">Ergebnis: </w:t>
      </w:r>
      <w:r>
        <w:t>Metabolisches Syndrom stieg progressiv mit höherem vaskulären Alter; Fläche unter der Kurve &gt;0,80 (Frauen bis 0,86). Vaskuläres Alter ist ein starker unabhängiger Prädiktor für metabolische Risiken und praktisch in Arbeitsschutzprogrammen einsetzbar.</w:t>
      </w:r>
    </w:p>
    <w:p>
      <w:r>
        <w:rPr>
          <w:b/>
          <w:sz w:val="19"/>
        </w:rPr>
        <w:t xml:space="preserve">Übertragbarkeit: </w:t>
      </w:r>
      <w:r>
        <w:rPr>
          <w:sz w:val="19"/>
        </w:rPr>
        <w:t>Spanischer Arbeitsmedizin-Kontext, vergleichbares Sozialversicherungssystem wie Deutschland</w:t>
      </w:r>
    </w:p>
    <w:p>
      <w:r>
        <w:rPr>
          <w:color w:val="5A7D3A"/>
          <w:sz w:val="18"/>
        </w:rPr>
        <w:t>https://pubmed.ncbi.nlm.nih.gov/42744528/</w:t>
      </w:r>
    </w:p>
    <w:p>
      <w:pPr>
        <w:pStyle w:val="Heading2"/>
      </w:pPr>
      <w:r>
        <w:t>Adipositaschirurgie bei Typ-1-Diabetes: Gewichtsverlust erreicht, Glykämie unverändert</w:t>
      </w:r>
    </w:p>
    <w:p>
      <w:r>
        <w:rPr>
          <w:i/>
          <w:color w:val="666666"/>
          <w:sz w:val="18"/>
        </w:rPr>
        <w:t>Mottalib A et al.  ·  Surg Obes Relat Dis  ·  14.03.2026  ·  PMID 42742506</w:t>
      </w:r>
    </w:p>
    <w:p>
      <w:r>
        <w:t>Retrospektive matched-cohort-Studie an 20 Patienten mit Typ-1-Diabetes und Adipositas nach bariatrischer Operation vs. 20 Kontrollpersonen in Standardversorgung über 3 Jahre.</w:t>
      </w:r>
    </w:p>
    <w:p>
      <w:r>
        <w:rPr>
          <w:b/>
        </w:rPr>
        <w:t xml:space="preserve">Ergebnis: </w:t>
      </w:r>
      <w:r>
        <w:t>Chirurgie-Gruppe: Gewichtsverlust 33,5±2,6 kg (28,1 %), Kontrollgruppe Gewichtszunahme 2,6±2,8 kg (p&lt;0,0001). HbA1c unverändert in beiden Gruppen. Chirurgie-Gruppe zeigte Reduktion Insulindosis (-), Triglyceride (-), systolischer Blutdruck (-), HDL-Cholesterin (+).</w:t>
      </w:r>
    </w:p>
    <w:p>
      <w:r>
        <w:rPr>
          <w:b/>
          <w:sz w:val="19"/>
        </w:rPr>
        <w:t xml:space="preserve">Übertragbarkeit: </w:t>
      </w:r>
      <w:r>
        <w:rPr>
          <w:sz w:val="19"/>
        </w:rPr>
        <w:t>USA-Klinikdaten, begrenzte Fallzahl (n=20); Adipositaschirurgie-Genehmigung in Deutschland Einzelfallprüfung</w:t>
      </w:r>
    </w:p>
    <w:p>
      <w:r>
        <w:rPr>
          <w:color w:val="5A7D3A"/>
          <w:sz w:val="18"/>
        </w:rPr>
        <w:t>https://pubmed.ncbi.nlm.nih.gov/42742506/</w:t>
      </w:r>
    </w:p>
    <w:p>
      <w:pPr>
        <w:pStyle w:val="Heading2"/>
      </w:pPr>
      <w:r>
        <w:t>SGLT2-Inhibitoren und GLP-1-Agonisten: Gewichtsverlust stärker bei Adipösen, Glykämieverbesserung gleich</w:t>
      </w:r>
    </w:p>
    <w:p>
      <w:r>
        <w:rPr>
          <w:i/>
          <w:color w:val="666666"/>
          <w:sz w:val="18"/>
        </w:rPr>
        <w:t>Almohammed OA et al.  ·  Front Endocrinol (Lausanne)  ·  31.08.2026  ·  PMID 42741141</w:t>
      </w:r>
    </w:p>
    <w:p>
      <w:r>
        <w:t>Multicenter-Beobachtungsstudie an 1.016 Patienten mit Typ-2-Diabetes in Saudi-Arabien zum Vergleich der Gewichts- und Glykämieveränderungen zwischen adipösen (BMI≥30) und nicht-adipösen Personen unter SGLT2i oder GLP-1RA.</w:t>
      </w:r>
    </w:p>
    <w:p>
      <w:r>
        <w:rPr>
          <w:b/>
        </w:rPr>
        <w:t xml:space="preserve">Ergebnis: </w:t>
      </w:r>
      <w:r>
        <w:t>Nach 12 Monaten erreichten adipöse Patienten größere absolute Gewichtsverluste und BMI-Reduktionen (p&lt;0,05). Responderrate ≥5 % Gewichtsverlust bei Adipösen: 27,2 % vs. 15,5 % bei Nicht-Adipösen in Monat 6. HbA1c-Verbesserungen waren zwischen Gruppen vergleichbar.</w:t>
      </w:r>
    </w:p>
    <w:p>
      <w:r>
        <w:rPr>
          <w:b/>
          <w:sz w:val="19"/>
        </w:rPr>
        <w:t xml:space="preserve">Übertragbarkeit: </w:t>
      </w:r>
      <w:r>
        <w:rPr>
          <w:sz w:val="19"/>
        </w:rPr>
        <w:t>Saudi-Arabien, Einzelzentren-Daten; Arzneimittel-Kostenerstattung in Deutschland nicht vergleichbar (§34 SGB V)</w:t>
      </w:r>
    </w:p>
    <w:p>
      <w:r>
        <w:rPr>
          <w:color w:val="5A7D3A"/>
          <w:sz w:val="18"/>
        </w:rPr>
        <w:t>https://pubmed.ncbi.nlm.nih.gov/42741141/</w:t>
      </w:r>
    </w:p>
    <w:p>
      <w:pPr>
        <w:pStyle w:val="Heading1"/>
      </w:pPr>
      <w:r>
        <w:t>Aufgenommen am 17.09.2026</w:t>
      </w:r>
    </w:p>
    <w:p>
      <w:pPr>
        <w:pStyle w:val="Heading2"/>
      </w:pPr>
      <w:r>
        <w:t>Wiederholte Lebensstilintervention: Marginal bessere Gewichtsabnahme in Kontemplationsphase</w:t>
      </w:r>
    </w:p>
    <w:p>
      <w:r>
        <w:rPr>
          <w:i/>
          <w:color w:val="666666"/>
          <w:sz w:val="18"/>
        </w:rPr>
        <w:t>Yoshida H et al.  ·  Environ Health Prev Med  ·  2026  ·  PMID 42749615</w:t>
      </w:r>
    </w:p>
    <w:p>
      <w:r>
        <w:t>Längsbeobachtungsstudie mit modifizierter Poisson-Regression an 2325 japanischen Männern (40–65 Jahre) aus Gesundheits-Screening-System 2018–2020: Vergleich wiederholter vs. einmaliger Spezifischer Gesundheitsberatung (SHG) auf Gewichtsabnahme ≥3%.</w:t>
      </w:r>
    </w:p>
    <w:p>
      <w:r>
        <w:rPr>
          <w:b/>
        </w:rPr>
        <w:t xml:space="preserve">Ergebnis: </w:t>
      </w:r>
      <w:r>
        <w:t>Wiederholte Gruppe (n=952) vs. Einzelintervention (n=1373): 16,0% vs. 13,5% erreichten ≥3% Gewichtsverlust (RR=1,18, 95% KI 0,97–1,44, nicht signifikant). Subgruppenanalyse Kontemplationsphase: 19,7% vs. 13,7% (RR=1,47, 95% KI 1,04–2,08), signifikant. Keine signifikante Gesamtassoziation.</w:t>
      </w:r>
    </w:p>
    <w:p>
      <w:r>
        <w:rPr>
          <w:b/>
          <w:sz w:val="19"/>
        </w:rPr>
        <w:t xml:space="preserve">Übertragbarkeit: </w:t>
      </w:r>
      <w:r>
        <w:rPr>
          <w:sz w:val="19"/>
        </w:rPr>
        <w:t>Japan, nationales Screening-System, zeigt Grenzen wiederholter Routine-Interventionen.</w:t>
      </w:r>
    </w:p>
    <w:p>
      <w:r>
        <w:rPr>
          <w:color w:val="5A7D3A"/>
          <w:sz w:val="18"/>
        </w:rPr>
        <w:t>https://pubmed.ncbi.nlm.nih.gov/42749615/</w:t>
      </w:r>
    </w:p>
    <w:p>
      <w:pPr>
        <w:pStyle w:val="Heading2"/>
      </w:pPr>
      <w:r>
        <w:t>Sozioökonomische Verletzlichkeit treibt Adipositas bei Kindern über Ernährung</w:t>
      </w:r>
    </w:p>
    <w:p>
      <w:r>
        <w:rPr>
          <w:i/>
          <w:color w:val="666666"/>
          <w:sz w:val="18"/>
        </w:rPr>
        <w:t>Mahmood L et al.  ·  Eur J Pediatr  ·  16.09.2026  ·  PMID 42747589</w:t>
      </w:r>
    </w:p>
    <w:p>
      <w:r>
        <w:t>Längsschnittstudie an 1796 Kindern aus 6 europäischen Ländern zum zeitlichen Zusammenhang zwischen sozioökonomischer Verletzlichkeit, Ernährungsqualität und BMI-Veränderung über 2 Jahre.</w:t>
      </w:r>
    </w:p>
    <w:p>
      <w:r>
        <w:rPr>
          <w:b/>
        </w:rPr>
        <w:t xml:space="preserve">Ergebnis: </w:t>
      </w:r>
      <w:r>
        <w:t>Höhere sozioökonomische Verletzlichkeit sagte schlechtere Ernährungsmuster voraus (weniger Fleisch β=–0,100, weniger Obst/Gemüse β=–0,119, mehr salzige Snacks β=0,129, p&lt;0,001). Diese Ernährungsunterschiede trugen zu Übergewichtsrisiko bei. Fleischkonsum moderierte die Vulnerabilität-BMI-Assoziation (p&lt;0,05).</w:t>
      </w:r>
    </w:p>
    <w:p>
      <w:r>
        <w:rPr>
          <w:b/>
          <w:sz w:val="19"/>
        </w:rPr>
        <w:t xml:space="preserve">Übertragbarkeit: </w:t>
      </w:r>
      <w:r>
        <w:rPr>
          <w:sz w:val="19"/>
        </w:rPr>
        <w:t>Europäische Studie, 6 Länder, dokumentiert Ungleichheitsmechanismus.</w:t>
      </w:r>
    </w:p>
    <w:p>
      <w:r>
        <w:rPr>
          <w:color w:val="5A7D3A"/>
          <w:sz w:val="18"/>
        </w:rPr>
        <w:t>https://pubmed.ncbi.nlm.nih.gov/42747589/</w:t>
      </w:r>
    </w:p>
    <w:p>
      <w:pPr>
        <w:pStyle w:val="Heading2"/>
      </w:pPr>
      <w:r>
        <w:t>Probiotika mit Omega-3 senken Inflammationsmarker bei Adipositas am stärksten</w:t>
      </w:r>
    </w:p>
    <w:p>
      <w:r>
        <w:rPr>
          <w:i/>
          <w:color w:val="666666"/>
          <w:sz w:val="18"/>
        </w:rPr>
        <w:t>Chen Z et al.  ·  Nutrients  ·  07.09.2026  ·  PMID 42739108</w:t>
      </w:r>
    </w:p>
    <w:p>
      <w:r>
        <w:t>Systematische Übersicht und Netzwerk-Metaanalyse von 60 RCTs zu 14 Supplementierungsstrategien und Effekten auf Inflammationsmarker bei Übergewicht/Adipositas.</w:t>
      </w:r>
    </w:p>
    <w:p>
      <w:r>
        <w:rPr>
          <w:b/>
        </w:rPr>
        <w:t xml:space="preserve">Ergebnis: </w:t>
      </w:r>
      <w:r>
        <w:t>Grüntee-Extrakt senkte IL-6 (MD=–2,57, 95% KI [–3,99, –1,15]). Synbiotika reduzierten TNF-α stärksten (MD=–12,25, [–16,7, –7,8]). Probiotika+Omega-3, Synbiotika, Zink und Curcumin senkten alle CRP. Synbiotika erhöhten Adiponektin (MD=15,37, [12,13, 18,61]). Kein Supplement senkte Leptin signifikant. Effekte hingen von Alter, Trainings-Co-Intervention und Geschlechtsverteilung ab.</w:t>
      </w:r>
    </w:p>
    <w:p>
      <w:r>
        <w:rPr>
          <w:b/>
          <w:sz w:val="19"/>
        </w:rPr>
        <w:t xml:space="preserve">Übertragbarkeit: </w:t>
      </w:r>
      <w:r>
        <w:rPr>
          <w:sz w:val="19"/>
        </w:rPr>
        <w:t>Globale Evidenz, zeigt mögliche unterstützende Maßnahmen, aber begrenzte individuelle Supplement-Wirkung.</w:t>
      </w:r>
    </w:p>
    <w:p>
      <w:r>
        <w:rPr>
          <w:color w:val="5A7D3A"/>
          <w:sz w:val="18"/>
        </w:rPr>
        <w:t>https://pubmed.ncbi.nlm.nih.gov/42739108/</w:t>
      </w:r>
    </w:p>
    <w:p>
      <w:pPr>
        <w:pStyle w:val="Heading2"/>
      </w:pPr>
      <w:r>
        <w:t>Südkoreas Adipositasgesetze: Mangelnde Finanzinstrumente bei regulatorischem Fokus</w:t>
      </w:r>
    </w:p>
    <w:p>
      <w:r>
        <w:rPr>
          <w:i/>
          <w:color w:val="666666"/>
          <w:sz w:val="18"/>
        </w:rPr>
        <w:t>Lee Y et al.  ·  Nutrients  ·  31.08.2026  ·  PMID 42739020</w:t>
      </w:r>
    </w:p>
    <w:p>
      <w:r>
        <w:t>Retrospektive Politikanalyse von 53 adipositasbezogenen Gesetzesentwürfen in Südkorea 2006–2024; Analyse von legislativen Trends und Einflussfaktoren.</w:t>
      </w:r>
    </w:p>
    <w:p>
      <w:r>
        <w:rPr>
          <w:b/>
        </w:rPr>
        <w:t xml:space="preserve">Ergebnis: </w:t>
      </w:r>
      <w:r>
        <w:t>16 Gesetzesentwürfe (30,2%) wurden verabschiedet oder in Alternativen integriert. Regulatorische Instrumente dominierten, gefolgt von Bildungs- und institutionellen Mitteln; fiskalische Maßnahmen waren selten. Legislative Aktivität clusterte 2013 und 2017–2019. Kindfokus und institutionelle Machbarkeit waren Erfolgsfaktoren, fiskalische und Strukturvorschläge scheiterten häufiger.</w:t>
      </w:r>
    </w:p>
    <w:p>
      <w:r>
        <w:rPr>
          <w:b/>
          <w:sz w:val="19"/>
        </w:rPr>
        <w:t xml:space="preserve">Übertragbarkeit: </w:t>
      </w:r>
      <w:r>
        <w:rPr>
          <w:sz w:val="19"/>
        </w:rPr>
        <w:t>Südkorea, zeigt Lücken in Prävention durch Steuer und Strukturreformen auf.</w:t>
      </w:r>
    </w:p>
    <w:p>
      <w:r>
        <w:rPr>
          <w:color w:val="5A7D3A"/>
          <w:sz w:val="18"/>
        </w:rPr>
        <w:t>https://pubmed.ncbi.nlm.nih.gov/42739020/</w:t>
      </w:r>
    </w:p>
    <w:p>
      <w:pPr>
        <w:pStyle w:val="Heading2"/>
      </w:pPr>
      <w:r>
        <w:t>Proteinreiches Sojagetränk: Langfristiger Nutzen für Körperzusammensetzung bei Frauen</w:t>
      </w:r>
    </w:p>
    <w:p>
      <w:r>
        <w:rPr>
          <w:i/>
          <w:color w:val="666666"/>
          <w:sz w:val="18"/>
        </w:rPr>
        <w:t>Berg A et al.  ·  Nutrients  ·  27.08.2026  ·  PMID 42738981</w:t>
      </w:r>
    </w:p>
    <w:p>
      <w:r>
        <w:t>Sekundäranalyse der multizentrischen ACOORH-RCT: 64 Frauen mit Übergewicht erhielten 26 Wochen lang entweder Lebensstiländerung allein oder kombiniert mit proteinreichem Soja-Joghurt-Honig-Mahlzeitenersatz; Nachverfolgung über 52 Wochen.</w:t>
      </w:r>
    </w:p>
    <w:p>
      <w:r>
        <w:rPr>
          <w:b/>
        </w:rPr>
        <w:t xml:space="preserve">Ergebnis: </w:t>
      </w:r>
      <w:r>
        <w:t>Beide Gruppen reduzierten Energieaufnahme in Woche 12. Interventionsgruppe erhöhte gewichtsadjustierte Proteinaufnahme (+0,22±0,29 g/kg/d; p=0,004) und behielt diese über 52 Wochen (p&lt;0,001). ANCOVA: signifikant bessere Verbesserung BMI (p=0,04) und Fettmasse (p=0,03). Woche 52: höhere Proteinaufnahme assoziiert mit niedrigerem BMI (r=–0,253, p=0,04) und Fettmasse (r=–0,321, p=0,01), höherer Muskelkraft (r=0,292, p=0,02).</w:t>
      </w:r>
    </w:p>
    <w:p>
      <w:r>
        <w:rPr>
          <w:b/>
          <w:sz w:val="19"/>
        </w:rPr>
        <w:t xml:space="preserve">Übertragbarkeit: </w:t>
      </w:r>
      <w:r>
        <w:rPr>
          <w:sz w:val="19"/>
        </w:rPr>
        <w:t>Deutschland, multizentrisch, zeigt anhaltende Verhaltensänderung nach Intervention.</w:t>
      </w:r>
    </w:p>
    <w:p>
      <w:r>
        <w:rPr>
          <w:color w:val="5A7D3A"/>
          <w:sz w:val="18"/>
        </w:rPr>
        <w:t>https://pubmed.ncbi.nlm.nih.gov/42738981/</w:t>
      </w:r>
    </w:p>
    <w:p>
      <w:pPr>
        <w:pStyle w:val="Heading2"/>
      </w:pPr>
      <w:r>
        <w:t>Digitales Adipositasprogramm funktioniert über kulturelle Grenzen: Abu Dhabi und Stockholm</w:t>
      </w:r>
    </w:p>
    <w:p>
      <w:r>
        <w:rPr>
          <w:i/>
          <w:color w:val="666666"/>
          <w:sz w:val="18"/>
        </w:rPr>
        <w:t>Lindberg L et al.  ·  BMC Pediatr  ·  10.09.2026  ·  PMID 42736550</w:t>
      </w:r>
    </w:p>
    <w:p>
      <w:r>
        <w:t>Nicht-Inferioritätsstudie mit externem historischem Vergleich: 60 Kinder (6–15,9 Jahre) mit Adipositas in Abu Dhabi erhielten Evira (Digi-Physical-Tool); Vergleich mit 107 Stockholmer Kindern aus Vorläuferstudie, primäres Outcome BMI-z-Score-Veränderung bei 26 Wochen.</w:t>
      </w:r>
    </w:p>
    <w:p>
      <w:r>
        <w:rPr>
          <w:b/>
        </w:rPr>
        <w:t xml:space="preserve">Ergebnis: </w:t>
      </w:r>
      <w:r>
        <w:t>Abu Dhabi: –0,20 z-Score (95% KI –0,28 bis –0,12); Stockholm: –0,20 z-Score (–0,26 bis –0,14); p=0,88. Nicht-Inferioritätsmargin 0,10 nicht überschritten. 45,7% Abu Dhabi vs. 36,4% Stockholm erreichten klinisch signifikante Reduktion (≥0,20 Einheiten). Abbruchquoten 41,7% vs. 28,0% (p=0,07).</w:t>
      </w:r>
    </w:p>
    <w:p>
      <w:r>
        <w:rPr>
          <w:b/>
          <w:sz w:val="19"/>
        </w:rPr>
        <w:t xml:space="preserve">Übertragbarkeit: </w:t>
      </w:r>
      <w:r>
        <w:rPr>
          <w:sz w:val="19"/>
        </w:rPr>
        <w:t>Skandinavien-Anwendungsstudie, zeigt Übertragbarkeit strukturierter Versorgung.</w:t>
      </w:r>
    </w:p>
    <w:p>
      <w:r>
        <w:rPr>
          <w:color w:val="5A7D3A"/>
          <w:sz w:val="18"/>
        </w:rPr>
        <w:t>https://pubmed.ncbi.nlm.nih.gov/42736550/</w:t>
      </w:r>
    </w:p>
    <w:p>
      <w:pPr>
        <w:pStyle w:val="Heading2"/>
      </w:pPr>
      <w:r>
        <w:t>Gestationsgewicht und Stoffwechsel beeinflussen Geburtsgewicht bei maternaler Adipositas</w:t>
      </w:r>
    </w:p>
    <w:p>
      <w:r>
        <w:rPr>
          <w:i/>
          <w:color w:val="666666"/>
          <w:sz w:val="18"/>
        </w:rPr>
        <w:t>Bonnichsen ML et al.  ·  Acta Obstet Gynecol Scand  ·  12.08.2026  ·  PMID 42583737</w:t>
      </w:r>
    </w:p>
    <w:p>
      <w:r>
        <w:t>Prospektive Kohortenstudie von 163 schwangeren Frauen mit Prägestations-BMI≥35 zur Assoziation von Gestationsgewichtszunahme und HbA1c mit fötalem Wachstum und Geburtsgewicht.</w:t>
      </w:r>
    </w:p>
    <w:p>
      <w:r>
        <w:rPr>
          <w:b/>
        </w:rPr>
        <w:t xml:space="preserve">Ergebnis: </w:t>
      </w:r>
      <w:r>
        <w:t>Durchschnittliches Geburtsgewicht normal (z-Score 0,117), aber 18,4% LGA und 12,9% SGA. In multivariater Analyse: wöchentliche Gewichtszunahme ab Woche 36 positiv assoziiert mit Geburtsgewicht (z-Score), HbA1c positiv assoziiert. Ein Drittel bekam GDM, ein Drittel davon brauchte medikamentöse Therapie.</w:t>
      </w:r>
    </w:p>
    <w:p>
      <w:r>
        <w:rPr>
          <w:b/>
          <w:sz w:val="19"/>
        </w:rPr>
        <w:t xml:space="preserve">Übertragbarkeit: </w:t>
      </w:r>
      <w:r>
        <w:rPr>
          <w:sz w:val="19"/>
        </w:rPr>
        <w:t>Norwegische Klinikdaten, vergleichbares Gesundheitssystem, zeigt Bedeutung der Gewichtsmonitoring in der Schwangerschaft.</w:t>
      </w:r>
    </w:p>
    <w:p>
      <w:r>
        <w:rPr>
          <w:color w:val="5A7D3A"/>
          <w:sz w:val="18"/>
        </w:rPr>
        <w:t>https://pubmed.ncbi.nlm.nih.gov/42583737/</w:t>
      </w:r>
    </w:p>
    <w:p>
      <w:pPr>
        <w:pStyle w:val="Heading1"/>
      </w:pPr>
      <w:r>
        <w:t>Aufgenommen am 16.09.2026</w:t>
      </w:r>
    </w:p>
    <w:p>
      <w:pPr>
        <w:pStyle w:val="Heading2"/>
      </w:pPr>
      <w:r>
        <w:t>Gewichtsmanagement bei Männern mit Mehrfacherkrankungen: Geschlechtsunterschiede in Therapieergebnissen</w:t>
      </w:r>
    </w:p>
    <w:p>
      <w:r>
        <w:rPr>
          <w:i/>
          <w:color w:val="666666"/>
          <w:sz w:val="18"/>
        </w:rPr>
        <w:t>Macaulay L et al.  ·  BMJ Open  ·  15.09.2026  ·  PMID 42744369</w:t>
      </w:r>
    </w:p>
    <w:p>
      <w:r>
        <w:t>Randomisierte Studie zu Gewichtsmanagement-Intervention mit Textnachrichten und finanziellen Anreizen bei 585 Männern mit Adipositas in drei britischen Zentren; 40% hatten Mehrfacherkrankungen.</w:t>
      </w:r>
    </w:p>
    <w:p>
      <w:r>
        <w:rPr>
          <w:b/>
        </w:rPr>
        <w:t xml:space="preserve">Ergebnis: </w:t>
      </w:r>
      <w:r>
        <w:t>Retentionsquote nach 12 Monaten: 76% bei Männern mit Behinderung, 75% ohne Erkrankungen, 65% mit Diabetes. Stigmaerlebnis, Wohlbefinden und Lebensqualität verbesserten sich in der Interventionsgruppe oder blieben gleich. Hospitalisierungen und eingeschränkte Mobilität waren demotivierend für Gewichtsverlust.</w:t>
      </w:r>
    </w:p>
    <w:p>
      <w:r>
        <w:rPr>
          <w:b/>
          <w:sz w:val="19"/>
        </w:rPr>
        <w:t xml:space="preserve">Übertragbarkeit: </w:t>
      </w:r>
      <w:r>
        <w:rPr>
          <w:sz w:val="19"/>
        </w:rPr>
        <w:t>UK-Studie, aber Versorgungsstrukturen vergleichbar mit Deutschland, deutsche Gesundheitsdatenbasis nicht erforderlich.</w:t>
      </w:r>
    </w:p>
    <w:p>
      <w:r>
        <w:rPr>
          <w:color w:val="5A7D3A"/>
          <w:sz w:val="18"/>
        </w:rPr>
        <w:t>https://pubmed.ncbi.nlm.nih.gov/42744369/</w:t>
      </w:r>
    </w:p>
    <w:p>
      <w:pPr>
        <w:pStyle w:val="Heading2"/>
      </w:pPr>
      <w:r>
        <w:t>Digitale Ernährungsplattform mit Fachberatung: Gewichtsverlust und Engagement</w:t>
      </w:r>
    </w:p>
    <w:p>
      <w:r>
        <w:rPr>
          <w:i/>
          <w:color w:val="666666"/>
          <w:sz w:val="18"/>
        </w:rPr>
        <w:t>Goddard FGB et al.  ·  JMIR Mhealth Uhealth  ·  15.09.2026  ·  PMID 42743588</w:t>
      </w:r>
    </w:p>
    <w:p>
      <w:r>
        <w:t>Retrospektive Kohorte von 10.288 aktiven Nutzern einer arbeitgeberfinanzierten digitalen Ernährungsplattform mit Fachberatung durch Ernährungsfachkräfte; median 6 Monate Verfolgung.</w:t>
      </w:r>
    </w:p>
    <w:p>
      <w:r>
        <w:rPr>
          <w:b/>
        </w:rPr>
        <w:t xml:space="preserve">Ergebnis: </w:t>
      </w:r>
      <w:r>
        <w:t>Nach 3 Monaten: 2,0 kg Gewichtsverlust (2,4% Ausgangsgewicht), nach 6 Monaten: 2,3 kg (2,8%). Höhere Programmbegeisterung assoziiert mit mehr Gewichtsverlust; mindestens eine Fachberatung alle 2 Monate zeigte stärkste Assoziation: +0,8 kg zusätzlicher Gewichtsverlust nach 3 Monaten.</w:t>
      </w:r>
    </w:p>
    <w:p>
      <w:r>
        <w:rPr>
          <w:b/>
          <w:sz w:val="19"/>
        </w:rPr>
        <w:t xml:space="preserve">Übertragbarkeit: </w:t>
      </w:r>
      <w:r>
        <w:rPr>
          <w:sz w:val="19"/>
        </w:rPr>
        <w:t>Portugiesische Plattformdaten; digitale Interventionen mit Fachberatung sind übertragbar auf strukturierte deutsche Versorgung.</w:t>
      </w:r>
    </w:p>
    <w:p>
      <w:r>
        <w:rPr>
          <w:color w:val="5A7D3A"/>
          <w:sz w:val="18"/>
        </w:rPr>
        <w:t>https://pubmed.ncbi.nlm.nih.gov/42743588/</w:t>
      </w:r>
    </w:p>
    <w:p>
      <w:pPr>
        <w:pStyle w:val="Heading2"/>
      </w:pPr>
      <w:r>
        <w:t>Akzeptabilität eines koreanischen Kräuterprogramms bei Adipositas: Zielgruppe mit Erfolg</w:t>
      </w:r>
    </w:p>
    <w:p>
      <w:r>
        <w:rPr>
          <w:i/>
          <w:color w:val="666666"/>
          <w:sz w:val="18"/>
        </w:rPr>
        <w:t>Pandey A et al.  ·  Nutrients  ·  07.09.2026  ·  PMID 42739109</w:t>
      </w:r>
    </w:p>
    <w:p>
      <w:r>
        <w:t>Retrospektive Analyse von 3798 Adipositaspatienten (BMI ≥30 kg/m²) an einer koreanischen Privatklinik; 37 erreichten ≥10% Gewichtsverlust und BMI ≤23 kg/m², davon 16 beantworteten Zufriedenheitsfragen.</w:t>
      </w:r>
    </w:p>
    <w:p>
      <w:r>
        <w:rPr>
          <w:b/>
        </w:rPr>
        <w:t xml:space="preserve">Ergebnis: </w:t>
      </w:r>
      <w:r>
        <w:t>Mittlere BMI-Abnahme: -8,9 kg/m² (Spannweite -9,6 bis -7,7). Zufriedenheitsratings hoch. Häufige unerwünschte Ereignisse: Verstopfung, Übelkeit, Schwindel. Förderliche Faktoren: wahrgenommener Gewichtsverlustnutzen, Programmstruktur, Sicherheit. Barrieren: Gewichtszunahme nach Behandlung, diätetische Belastung, finanzielle Bedenken.</w:t>
      </w:r>
    </w:p>
    <w:p>
      <w:r>
        <w:rPr>
          <w:b/>
          <w:sz w:val="19"/>
        </w:rPr>
        <w:t xml:space="preserve">Übertragbarkeit: </w:t>
      </w:r>
      <w:r>
        <w:rPr>
          <w:sz w:val="19"/>
        </w:rPr>
        <w:t>Südkorea; kulturelle Unterschiede bei Programmannahme, klinische Struktur nicht auf Deutschland übertragbar.</w:t>
      </w:r>
    </w:p>
    <w:p>
      <w:r>
        <w:rPr>
          <w:color w:val="5A7D3A"/>
          <w:sz w:val="18"/>
        </w:rPr>
        <w:t>https://pubmed.ncbi.nlm.nih.gov/42739109/</w:t>
      </w:r>
    </w:p>
    <w:p>
      <w:pPr>
        <w:pStyle w:val="Heading2"/>
      </w:pPr>
      <w:r>
        <w:t>Zeitlich begrenzte Mahlzeiten bei Veteranen mit Querschnittlähmung und Adipositas</w:t>
      </w:r>
    </w:p>
    <w:p>
      <w:r>
        <w:rPr>
          <w:i/>
          <w:color w:val="666666"/>
          <w:sz w:val="18"/>
        </w:rPr>
        <w:t>Evans C et al.  ·  Nutrients  ·  02.09.2026  ·  PMID 42739050</w:t>
      </w:r>
    </w:p>
    <w:p>
      <w:r>
        <w:t>Pilottest mit 15 Veteranen mit Rückenmarksverletzung (SCI) und Adipositas; 6-wöchige Intervention mit zeitlich begrenztem Essen (≤10 h tägliches Mahlzeitenfenster).</w:t>
      </w:r>
    </w:p>
    <w:p>
      <w:r>
        <w:rPr>
          <w:b/>
        </w:rPr>
        <w:t xml:space="preserve">Ergebnis: </w:t>
      </w:r>
      <w:r>
        <w:t>14 Teilnehmende beendeten Studie. Adhärenz: 83,0%, durchschn. Mahlzeitenfenster 9,2 ± 1,5 h. Akzeptabilität moderat hoch (50% planten Fortsetzung, 79% würden empfehlen). Glykämische Kontrolle verbesserte sich: 24-h-Glukose -7 ± 3 mg/dL (p=0,02), Glukose-Management-Indikator -0,2 ± 0,1% (p=0,02), Zeit im Zielbereich +3,2 ± 1,6% (p=0,02).</w:t>
      </w:r>
    </w:p>
    <w:p>
      <w:r>
        <w:rPr>
          <w:b/>
          <w:sz w:val="19"/>
        </w:rPr>
        <w:t xml:space="preserve">Übertragbarkeit: </w:t>
      </w:r>
      <w:r>
        <w:rPr>
          <w:sz w:val="19"/>
        </w:rPr>
        <w:t>USA-Studie bei Spezialgruppe; Ergebnis Glykämiekontrolle ist systemabhängig, aber Machbarkeit bei Mobilitätseinschränkung relevant.</w:t>
      </w:r>
    </w:p>
    <w:p>
      <w:r>
        <w:rPr>
          <w:color w:val="5A7D3A"/>
          <w:sz w:val="18"/>
        </w:rPr>
        <w:t>https://pubmed.ncbi.nlm.nih.gov/42739050/</w:t>
      </w:r>
    </w:p>
    <w:p>
      <w:pPr>
        <w:pStyle w:val="Heading2"/>
      </w:pPr>
      <w:r>
        <w:t>Personalisierte Ernährungs- und Verhaltensintervention: Gewichtsverlust und Langzeitmaintenance</w:t>
      </w:r>
    </w:p>
    <w:p>
      <w:r>
        <w:rPr>
          <w:i/>
          <w:color w:val="666666"/>
          <w:sz w:val="18"/>
        </w:rPr>
        <w:t>Momora A et al.  ·  Nutrients  ·  27.08.2026  ·  PMID 42738986</w:t>
      </w:r>
    </w:p>
    <w:p>
      <w:r>
        <w:t>Retrospektive Analyse von 267 übergewichtigen oder adipösen Erwachsenen, die personalisierte Diät mit psychodiätetischer Unterstützung (2018–2024) erhielten; 1-Jahres-Follow-up.</w:t>
      </w:r>
    </w:p>
    <w:p>
      <w:r>
        <w:rPr>
          <w:b/>
        </w:rPr>
        <w:t xml:space="preserve">Ergebnis: </w:t>
      </w:r>
      <w:r>
        <w:t>Mittlerer Gewichtsverlust: 10,45 ± 7,56 kg mit signifikanten BMI- und Körperfettabnahmen. Fettfreie Masse: -1,72 ± 2,20 kg, Skelettmuskulatur: -1,11 ± 1,36 kg. Nach 1 Jahr: 23,2% behielten ≥10% Gewichtsverlust bei. Hauptproblem: Gewichtsrückgang bei 76,8% der Teilnehmenden.</w:t>
      </w:r>
    </w:p>
    <w:p>
      <w:r>
        <w:rPr>
          <w:b/>
          <w:sz w:val="19"/>
        </w:rPr>
        <w:t xml:space="preserve">Übertragbarkeit: </w:t>
      </w:r>
      <w:r>
        <w:rPr>
          <w:sz w:val="19"/>
        </w:rPr>
        <w:t>Polen; klinische Daten aus ambulanter Versorgung, Struktur mit Ernährungsberatung vergleichbar mit Deutschland.</w:t>
      </w:r>
    </w:p>
    <w:p>
      <w:r>
        <w:rPr>
          <w:color w:val="5A7D3A"/>
          <w:sz w:val="18"/>
        </w:rPr>
        <w:t>https://pubmed.ncbi.nlm.nih.gov/42738986/</w:t>
      </w:r>
    </w:p>
    <w:p>
      <w:pPr>
        <w:pStyle w:val="Heading2"/>
      </w:pPr>
      <w:r>
        <w:t>Körperbildwahrnehmung bei krebsbedingtem Gewichtsverlust: Geschlechtsunterschiede</w:t>
      </w:r>
    </w:p>
    <w:p>
      <w:r>
        <w:rPr>
          <w:i/>
          <w:color w:val="666666"/>
          <w:sz w:val="18"/>
        </w:rPr>
        <w:t>Goodrose-Flores C et al.  ·  BMJ Open  ·  15.07.2026  ·  PMID 42457417</w:t>
      </w:r>
    </w:p>
    <w:p>
      <w:r>
        <w:t>Studienprotokoll der Multicenterstudie GRACE zu Geschlechtsunterschieden in der Körperbildwahrnehmung während krebsbedingtem Gewichtsverlust in sechs Ländern.</w:t>
      </w:r>
    </w:p>
    <w:p>
      <w:r>
        <w:rPr>
          <w:b/>
        </w:rPr>
        <w:t xml:space="preserve">Ergebnis: </w:t>
      </w:r>
      <w:r>
        <w:t>Zielrekrutierung: 600 Teilnehmende (je 50 Frauen und 50 Männer pro Land). Primärer Endpunkt: Differenz Body Image Scale (BIS)-Score zwischen Geschlechtern; 3 BIS-Punkte als klinisch bedeutsam definiert.</w:t>
      </w:r>
    </w:p>
    <w:p>
      <w:r>
        <w:rPr>
          <w:b/>
          <w:sz w:val="19"/>
        </w:rPr>
        <w:t xml:space="preserve">Übertragbarkeit: </w:t>
      </w:r>
      <w:r>
        <w:rPr>
          <w:sz w:val="19"/>
        </w:rPr>
        <w:t>Multinationale Studie, Ergebnisse erst bei Abschluss verfügbar; Studiendesign zeigt Methodenrelevanz für Versorgung.</w:t>
      </w:r>
    </w:p>
    <w:p>
      <w:r>
        <w:rPr>
          <w:color w:val="5A7D3A"/>
          <w:sz w:val="18"/>
        </w:rPr>
        <w:t>https://pubmed.ncbi.nlm.nih.gov/42457417/</w:t>
      </w:r>
    </w:p>
    <w:p>
      <w:pPr>
        <w:pStyle w:val="Heading1"/>
      </w:pPr>
      <w:r>
        <w:t>Aufgenommen am 15.09.2026</w:t>
      </w:r>
    </w:p>
    <w:p>
      <w:pPr>
        <w:pStyle w:val="Heading2"/>
      </w:pPr>
      <w:r>
        <w:t>Freies Triiodothyronin als Prädiktor für Erfolg nach Adipositaschirurgie</w:t>
      </w:r>
    </w:p>
    <w:p>
      <w:r>
        <w:rPr>
          <w:i/>
          <w:color w:val="666666"/>
          <w:sz w:val="18"/>
        </w:rPr>
        <w:t>Li S et al.  ·  Diabetes Metab Res Rev  ·  Sept. 2026  ·  PMID 42733963</w:t>
      </w:r>
    </w:p>
    <w:p>
      <w:r>
        <w:t>Kohortenstudie an 1.034 euthyreoten Patienten mit Übergewicht/Adipositas, die einer bariatrischen Operation unterzogen wurden: niedriges präoperatives FT3 (freies Triiodothyronin), besonders bei Frauen, war mit geringerer Gewichtsabnahme und Diabetes-Remission assoziiert.</w:t>
      </w:r>
    </w:p>
    <w:p>
      <w:r>
        <w:rPr>
          <w:b/>
        </w:rPr>
        <w:t xml:space="preserve">Ergebnis: </w:t>
      </w:r>
      <w:r>
        <w:t>Patienten mit FT3 unterhalb von 4,75 pmol/L (Frauen) bzw. 5,05 pmol/L (Männer) zeigten über 3 Jahre follow-up reduzierte Chancen auf Gewichtsverlust ≥25 % und Diabetes-Remission. Der Effekt war stärker bei Frauen (optimale Schwelle 4,57 für Remission). FT3 zeigte auch altersabhängige Plateaus bei der Assoziation mit fettfreier Masse.</w:t>
      </w:r>
    </w:p>
    <w:p>
      <w:r>
        <w:rPr>
          <w:b/>
          <w:sz w:val="19"/>
        </w:rPr>
        <w:t xml:space="preserve">Übertragbarkeit: </w:t>
      </w:r>
      <w:r>
        <w:rPr>
          <w:sz w:val="19"/>
        </w:rPr>
        <w:t>China (Shanghai); vergleichbares Erstattungssystem, bariatrische Diagnostik ähnlich Deutschland.</w:t>
      </w:r>
    </w:p>
    <w:p>
      <w:r>
        <w:rPr>
          <w:color w:val="5A7D3A"/>
          <w:sz w:val="18"/>
        </w:rPr>
        <w:t>https://pubmed.ncbi.nlm.nih.gov/42733963/</w:t>
      </w:r>
    </w:p>
    <w:p>
      <w:pPr>
        <w:pStyle w:val="Heading2"/>
      </w:pPr>
      <w:r>
        <w:t>Haarausfall bei Adipositasbehandlung: Ursachen und Managementansätze</w:t>
      </w:r>
    </w:p>
    <w:p>
      <w:r>
        <w:rPr>
          <w:i/>
          <w:color w:val="666666"/>
          <w:sz w:val="18"/>
        </w:rPr>
        <w:t>Troshina EA et al.  ·  Probl Endokrinol (Mosk)  ·  08.09.2026  ·  PMID 42733368</w:t>
      </w:r>
    </w:p>
    <w:p>
      <w:r>
        <w:t>Expertenkonsenspapier (Russische Endokrinologische Gesellschaft): Systematisiert Prävalenz, klinische und morphologische Varianten sowie Pathophysiologie von Alopecia im Rahmen von Gewichtsverlust durch Diät, bariatrische Chirurgie und Arzneimitteltherapie (insbesondere GLP-1-Rezeptoragonisten).</w:t>
      </w:r>
    </w:p>
    <w:p>
      <w:r>
        <w:rPr>
          <w:b/>
        </w:rPr>
        <w:t xml:space="preserve">Ergebnis: </w:t>
      </w:r>
      <w:r>
        <w:t>Telogen-Effluvium und andere Formen der diffusen Alopezie treten bei Gewichtsverlust durch metabolischen Stress, Protein-Energie-Mangelernährung und Mikronährstoffmängel auf. Biotin und Vitamin D spielen kritische Rollen für die Haarfollikel-Funktion. Risikogruppen sind Frauen, ältere Patienten und solche mit raschem Gewichtsverlust. Prävention und Management erfordern Überwachung, Supplementation, Therapietreue-Erhaltung.</w:t>
      </w:r>
    </w:p>
    <w:p>
      <w:r>
        <w:rPr>
          <w:b/>
          <w:sz w:val="19"/>
        </w:rPr>
        <w:t xml:space="preserve">Übertragbarkeit: </w:t>
      </w:r>
      <w:r>
        <w:rPr>
          <w:sz w:val="19"/>
        </w:rPr>
        <w:t>Expertenkonsenspapier ohne Originalforschung; identifiziert Versorgungslücke bei Nebenwirkungsmanagement.</w:t>
      </w:r>
    </w:p>
    <w:p>
      <w:r>
        <w:rPr>
          <w:color w:val="5A7D3A"/>
          <w:sz w:val="18"/>
        </w:rPr>
        <w:t>https://pubmed.ncbi.nlm.nih.gov/42733368/</w:t>
      </w:r>
    </w:p>
    <w:p>
      <w:pPr>
        <w:pStyle w:val="Heading2"/>
      </w:pPr>
      <w:r>
        <w:t>Adipositaschirurgie verbessert retinale Mikrovaskulatur bei Adipositas</w:t>
      </w:r>
    </w:p>
    <w:p>
      <w:r>
        <w:rPr>
          <w:i/>
          <w:color w:val="666666"/>
          <w:sz w:val="18"/>
        </w:rPr>
        <w:t>Salsabila S et al.  ·  Clin Obes  ·  Okt. 2026  ·  PMID 42723208</w:t>
      </w:r>
    </w:p>
    <w:p>
      <w:r>
        <w:t>Systematischer Review und Metaanalyse (8 prospektive Kohortenstudien, 283 Patienten): Bariatrische Chirurgie war mit günstigen Veränderungen der retinalen Gefäßkaliber assoziiert, gemessen an Zentralarteriolar- und Zentralvenularäquivalent sowie arteriovenösem Verhältnis.</w:t>
      </w:r>
    </w:p>
    <w:p>
      <w:r>
        <w:rPr>
          <w:b/>
        </w:rPr>
        <w:t xml:space="preserve">Ergebnis: </w:t>
      </w:r>
      <w:r>
        <w:t>Bariatrische Operation führte zu Zunahme der zentralen Arteriolen um 4,02 μm (95%-KI 0,26–7,78; p = 0,04), stärker in Sensitivitätsanalyse (+5,41 μm; p &lt; 0,01); Zentralvenen nahmen um 6,75 μm ab (p &lt; 0,01); arteriovenöses Verhältnis stieg um 0,03 (p &lt; 0,01). Effekte waren robust, zwischen-Studien-Heterogenität bestand aber.</w:t>
      </w:r>
    </w:p>
    <w:p>
      <w:r>
        <w:rPr>
          <w:b/>
          <w:sz w:val="19"/>
        </w:rPr>
        <w:t xml:space="preserve">Übertragbarkeit: </w:t>
      </w:r>
      <w:r>
        <w:rPr>
          <w:sz w:val="19"/>
        </w:rPr>
        <w:t>Überwiegend nicht-deutschsprachige Länder; bariatrisches Verfahren, deutsche Kassenfinanzierung nach Einzelfallprüfung.</w:t>
      </w:r>
    </w:p>
    <w:p>
      <w:r>
        <w:rPr>
          <w:color w:val="5A7D3A"/>
          <w:sz w:val="18"/>
        </w:rPr>
        <w:t>https://pubmed.ncbi.nlm.nih.gov/42723208/</w:t>
      </w:r>
    </w:p>
    <w:p>
      <w:pPr>
        <w:pStyle w:val="Heading2"/>
      </w:pPr>
      <w:r>
        <w:t>Diätetische Fehlernährung und Adipositas bei Kuwaiti-Jugendlichen</w:t>
      </w:r>
    </w:p>
    <w:p>
      <w:r>
        <w:rPr>
          <w:i/>
          <w:color w:val="666666"/>
          <w:sz w:val="18"/>
        </w:rPr>
        <w:t>AlBaloul AH  ·  BMC Pediatr  ·  11.08.2026  ·  PMID 42717328</w:t>
      </w:r>
    </w:p>
    <w:p>
      <w:r>
        <w:t>Schulbasierte Querschnittsstudie (375 Adoleszente, 13–17 Jahre) in Kuwait: Untersucht wurde die Einhaltung Diätetischer Referenzwerte und Assoziationen zwischen Ernährungsintake und Überernährung (BMI, Taillenumfang).</w:t>
      </w:r>
    </w:p>
    <w:p>
      <w:r>
        <w:rPr>
          <w:b/>
        </w:rPr>
        <w:t xml:space="preserve">Ergebnis: </w:t>
      </w:r>
      <w:r>
        <w:t>44,5 % waren übergewichtig oder adipös (BMI-basiert), 34,7 % hatten erhöhten Taillenumfang. Proteinzufuhr war invers assoziiert mit erhöhtem Taillenumfang (OR 0,89), während erhöhte Gesamtfett-, Kohlenhydrat- und Rotfleischzufuhr positiv assoziiert waren. 92,2 % Jugendliche mit übermäßiger Zuckeraufnahme, 61,7 % mit erhöhter Fettzufuhr; fast alle unterschritten Faserempfehlungen.</w:t>
      </w:r>
    </w:p>
    <w:p>
      <w:r>
        <w:rPr>
          <w:b/>
          <w:sz w:val="19"/>
        </w:rPr>
        <w:t xml:space="preserve">Übertragbarkeit: </w:t>
      </w:r>
      <w:r>
        <w:rPr>
          <w:sz w:val="19"/>
        </w:rPr>
        <w:t>Kuwait (Mittlerer Osten); nicht deutsches System, aber vergleichbare Probleme rapidem Übergang zu westlicher Ernährung.</w:t>
      </w:r>
    </w:p>
    <w:p>
      <w:r>
        <w:rPr>
          <w:color w:val="5A7D3A"/>
          <w:sz w:val="18"/>
        </w:rPr>
        <w:t>https://pubmed.ncbi.nlm.nih.gov/42717328/</w:t>
      </w:r>
    </w:p>
    <w:p>
      <w:pPr>
        <w:pStyle w:val="Heading2"/>
      </w:pPr>
      <w:r>
        <w:t>Semaglutide senkt Entzündungsmarker und kardiovaskuläres Risiko bei Adipositas</w:t>
      </w:r>
    </w:p>
    <w:p>
      <w:r>
        <w:rPr>
          <w:i/>
          <w:color w:val="666666"/>
          <w:sz w:val="18"/>
        </w:rPr>
        <w:t>Plutzky J et al.  ·  Circulation  ·  15.09.2026  ·  PMID 42610271</w:t>
      </w:r>
    </w:p>
    <w:p>
      <w:r>
        <w:t>Sekundäranalyse der SELECT-Studie (17.604 Patienten mit kardiovaskulärer Erkrankung und Übergewicht/Adipositas): Semaglutid reduzierte den Entzündungsmarker hsCRP und die Rate major adverse cardiovascular events (MACE), unabhängig vom Ausmaß der Gewichtsabnahme.</w:t>
      </w:r>
    </w:p>
    <w:p>
      <w:r>
        <w:rPr>
          <w:b/>
        </w:rPr>
        <w:t xml:space="preserve">Ergebnis: </w:t>
      </w:r>
      <w:r>
        <w:t>Semaglutid reduzierte hsCRP um 37,8 % über 104 Wochen und senkten das MACE-Risiko über alle hsCRP-Subgruppen (p &lt; 0,001). hsCRP-Senkungen traten bereits nach 4–8 Wochen auf, vor größerer Gewichtsabnahme. Geringere hsCRP-Werte prognostizierten reduziertes MACE-Risiko (Entzündung als Teilmechanismus der kardiovaskulären Schutzwirkung).</w:t>
      </w:r>
    </w:p>
    <w:p>
      <w:r>
        <w:rPr>
          <w:b/>
          <w:sz w:val="19"/>
        </w:rPr>
        <w:t xml:space="preserve">Übertragbarkeit: </w:t>
      </w:r>
      <w:r>
        <w:rPr>
          <w:sz w:val="19"/>
        </w:rPr>
        <w:t>Bevölkerungsbasierte Studie (UK Biobank); keine deutsche Kostenübernahme solcher Präparate (§ 34 SGB V).</w:t>
      </w:r>
    </w:p>
    <w:p>
      <w:r>
        <w:rPr>
          <w:color w:val="5A7D3A"/>
          <w:sz w:val="18"/>
        </w:rPr>
        <w:t>https://pubmed.ncbi.nlm.nih.gov/42610271/</w:t>
      </w:r>
    </w:p>
    <w:p>
      <w:pPr>
        <w:pStyle w:val="Heading2"/>
      </w:pPr>
      <w:r>
        <w:t>Körperliche Aktivität und kardiovaskuläres Risiko bei metabolischem Syndrom</w:t>
      </w:r>
    </w:p>
    <w:p>
      <w:r>
        <w:rPr>
          <w:i/>
          <w:color w:val="666666"/>
          <w:sz w:val="18"/>
        </w:rPr>
        <w:t>An JQ et al.  ·  Front Endocrinol (Lausanne)  ·  31.07.2026  ·  PMID 42601879</w:t>
      </w:r>
    </w:p>
    <w:p>
      <w:r>
        <w:t>Prospektive Kohortenstudie (88.281 UK Biobank-Teilnehmer ohne kardiovaskuläre Erkrankung, Cardiovascular-Kidney-Metabolic-Stadien 0–3): Assoziationen zwischen Bewegungsdauer (leicht und moderat-intensiv) und Inzidenz kardiovaskulärer Erkrankungen zeigten stadium-spezifische Muster.</w:t>
      </w:r>
    </w:p>
    <w:p>
      <w:r>
        <w:rPr>
          <w:b/>
        </w:rPr>
        <w:t xml:space="preserve">Ergebnis: </w:t>
      </w:r>
      <w:r>
        <w:t>Moderat-intensive körperliche Aktivität (MVPA) senkte das kardiovaskuläre Risiko in den Stadien 1 und 2 um 42 % (Stadium 1) bzw. 33 % (Stadium 2). Leichte körperliche Aktivität reduzierte Risiko am meisten in Stadium 2 (18 % Reduktion). Im Stadium 3 zeigten sich U-förmige Dosis-Wirkungs-Kurven mit optimal 300–350 min/Woche MVPA. Inflexionspunkte lagen bei 213 min/Woche MVPA und 2.357 min/Woche leichter Aktivität.</w:t>
      </w:r>
    </w:p>
    <w:p>
      <w:r>
        <w:rPr>
          <w:b/>
          <w:sz w:val="19"/>
        </w:rPr>
        <w:t xml:space="preserve">Übertragbarkeit: </w:t>
      </w:r>
      <w:r>
        <w:rPr>
          <w:sz w:val="19"/>
        </w:rPr>
        <w:t>UK Biobank; accelerometer-gemessene Aktivität, europäisches Setting, direkt übertragbar.</w:t>
      </w:r>
    </w:p>
    <w:p>
      <w:r>
        <w:rPr>
          <w:color w:val="5A7D3A"/>
          <w:sz w:val="18"/>
        </w:rPr>
        <w:t>https://pubmed.ncbi.nlm.nih.gov/42601879/</w:t>
      </w:r>
    </w:p>
    <w:p>
      <w:pPr>
        <w:pStyle w:val="Heading2"/>
      </w:pPr>
      <w:r>
        <w:t>Adipositasmaßnahmen in Europas und Lateinamerikas: Politiken zeigen inkonsistente Effekte</w:t>
      </w:r>
    </w:p>
    <w:p>
      <w:r>
        <w:rPr>
          <w:i/>
          <w:color w:val="666666"/>
          <w:sz w:val="18"/>
        </w:rPr>
        <w:t>Donini LM et al.  ·  Int J Food Sci Nutr  ·  13.07.2026  ·  PMID 42439451</w:t>
      </w:r>
    </w:p>
    <w:p>
      <w:r>
        <w:t>Ökologische Querschnittstudie (20 europäische und lateinamerikanische Länder, 2010–2024): Untersucht wurden Änderungen in Lebensmittel- und Nährstoffkonsum sowie Adipositasprävalenz nach Einführung präventiver Maßnahmen (Steuern, Front-of-Pack-Kennzeichnung).</w:t>
      </w:r>
    </w:p>
    <w:p>
      <w:r>
        <w:rPr>
          <w:b/>
        </w:rPr>
        <w:t xml:space="preserve">Ergebnis: </w:t>
      </w:r>
      <w:r>
        <w:t>Lebensmittelkonsum-Trends zeigten keine konsistente Assoziation mit Politikadoptionen. In mehreren Ländern sank der Konsum "gesunder" Lebensmittel über Zeit, während "ungesunde" Nahrungsmittel stiegen, unabhängig von Policyadoption. Trends um Politikjahr herum suggerierten Adipositasverlaufsänderungen, besonders bei Kindern und Jugendlichen, aber inkonsistent über Settings. Multifaktorielle Natur der Adipositas erklärt kontrastierende Befunde.</w:t>
      </w:r>
    </w:p>
    <w:p>
      <w:r>
        <w:rPr>
          <w:b/>
          <w:sz w:val="19"/>
        </w:rPr>
        <w:t xml:space="preserve">Übertragbarkeit: </w:t>
      </w:r>
      <w:r>
        <w:rPr>
          <w:sz w:val="19"/>
        </w:rPr>
        <w:t>Europäische und lateinamerikanische Systeme mit unterschiedlicher Ausgangslage; zeigt Grenzen einzelner Verhältnisprävention.</w:t>
      </w:r>
    </w:p>
    <w:p>
      <w:r>
        <w:rPr>
          <w:color w:val="5A7D3A"/>
          <w:sz w:val="18"/>
        </w:rPr>
        <w:t>https://pubmed.ncbi.nlm.nih.gov/42439451/</w:t>
      </w:r>
    </w:p>
    <w:p>
      <w:pPr>
        <w:pStyle w:val="Heading1"/>
      </w:pPr>
      <w:r>
        <w:t>Aufgenommen am 14.09.2026</w:t>
      </w:r>
    </w:p>
    <w:p>
      <w:pPr>
        <w:pStyle w:val="Heading2"/>
      </w:pPr>
      <w:r>
        <w:t>Speckle-Tracking zeigt Karotis-Steifheit bei Metabolischem Syndrom</w:t>
      </w:r>
    </w:p>
    <w:p>
      <w:r>
        <w:rPr>
          <w:i/>
          <w:color w:val="666666"/>
          <w:sz w:val="18"/>
        </w:rPr>
        <w:t>Topan ED et al.  ·  BMC Med Imaging  ·  11.09.2026  ·  PMID 42728590</w:t>
      </w:r>
    </w:p>
    <w:p>
      <w:r>
        <w:t>Retrospektive Querschnittsstudie von n=100 Teilnehmern (50 mit Metabolischem Syndrom, 50 Kontrollen) zur Bewertung multidimensionaler Karotis-Mechanik mittels Speckle-Tracking-Ultrasonographie und deren Assoziation mit metabolischer Belastung.</w:t>
      </w:r>
    </w:p>
    <w:p>
      <w:r>
        <w:rPr>
          <w:b/>
        </w:rPr>
        <w:t xml:space="preserve">Ergebnis: </w:t>
      </w:r>
      <w:r>
        <w:t>Patienten mit Metabolischem Syndrom zeigten signifikant erhöhte Steifheitsparameter (elastischer Modul, Pulswellengeschwindigkeit) und reduzierte Compliance-Indizes (alle p&lt;0,05). Dehnungsanalyse ergab signifikant niedrigere radiale und zirkumferentielle Dehnungswerte in der MetS-Gruppe, besonders ausgeprägt in der transversalen Ebene (alle p&lt;0,001). MetS-Status war einer der wichtigsten Determinanten bei CART-Analyse.</w:t>
      </w:r>
    </w:p>
    <w:p>
      <w:r>
        <w:rPr>
          <w:b/>
          <w:sz w:val="19"/>
        </w:rPr>
        <w:t xml:space="preserve">Übertragbarkeit: </w:t>
      </w:r>
      <w:r>
        <w:rPr>
          <w:sz w:val="19"/>
        </w:rPr>
        <w:t>Türkische Klinik, aber Ultraschall-Methode international standardisiert; funktionelle Vaskulärmechanik</w:t>
      </w:r>
    </w:p>
    <w:p>
      <w:r>
        <w:rPr>
          <w:color w:val="5A7D3A"/>
          <w:sz w:val="18"/>
        </w:rPr>
        <w:t>https://pubmed.ncbi.nlm.nih.gov/42728590/</w:t>
      </w:r>
    </w:p>
    <w:p>
      <w:pPr>
        <w:pStyle w:val="Heading2"/>
      </w:pPr>
      <w:r>
        <w:t>Sarkopenische Adipositas erhöht chronische Lungenerkrankung um 50 Prozent</w:t>
      </w:r>
    </w:p>
    <w:p>
      <w:r>
        <w:rPr>
          <w:i/>
          <w:color w:val="666666"/>
          <w:sz w:val="18"/>
        </w:rPr>
        <w:t>Guo H et al.  ·  Chron Respir Dis  ·  11.09.2026  ·  PMID 42727588</w:t>
      </w:r>
    </w:p>
    <w:p>
      <w:r>
        <w:t>Prospektive Kohortenstudie aus China (CHARLS) und UK (ELSA) mit n=6.008 Teilnehmern ohne Lungenerkrankung zu Assoziationen zwischen sarkopenischer Adipositas und incidenter chronischer Lungenerkrankung.</w:t>
      </w:r>
    </w:p>
    <w:p>
      <w:r>
        <w:rPr>
          <w:b/>
        </w:rPr>
        <w:t xml:space="preserve">Ergebnis: </w:t>
      </w:r>
      <w:r>
        <w:t>Während der Nachbeobachtung (2011–2020) entwickelten 122 von 3.572 CHARLS-Teilnehmern und 101 von 2.436 ELSA-Teilnehmern chronische Lungenerkrankung. Nach vollständiger Adjustierung zeigte sarkopenische Adipositas ein HR von 1,50 (p=0,003) in CHARLS und 2,19 (p=0,006) in ELSA.</w:t>
      </w:r>
    </w:p>
    <w:p>
      <w:r>
        <w:rPr>
          <w:b/>
          <w:sz w:val="19"/>
        </w:rPr>
        <w:t xml:space="preserve">Übertragbarkeit: </w:t>
      </w:r>
      <w:r>
        <w:rPr>
          <w:sz w:val="19"/>
        </w:rPr>
        <w:t>Zwei europäische und asiatische Kohorten, Dokumentation vergleichbar; Körperzusammensetzung als Funktionsmarker relevant</w:t>
      </w:r>
    </w:p>
    <w:p>
      <w:r>
        <w:rPr>
          <w:color w:val="5A7D3A"/>
          <w:sz w:val="18"/>
        </w:rPr>
        <w:t>https://pubmed.ncbi.nlm.nih.gov/42727588/</w:t>
      </w:r>
    </w:p>
    <w:p>
      <w:pPr>
        <w:pStyle w:val="Heading2"/>
      </w:pPr>
      <w:r>
        <w:t>BMI modifiziert Lärmbelastungs-Effekt auf Fettleber in Fabrikarbeitern</w:t>
      </w:r>
    </w:p>
    <w:p>
      <w:r>
        <w:rPr>
          <w:i/>
          <w:color w:val="666666"/>
          <w:sz w:val="18"/>
        </w:rPr>
        <w:t>Liu D et al.  ·  PLoS One  ·  11.09.2026  ·  PMID 42726755</w:t>
      </w:r>
    </w:p>
    <w:p>
      <w:r>
        <w:t>Retrospektive Querschnittsstudie von n=769 männlichen Werkarbeitern mit Lärmexposition zur Untersuchung der Assoziation zwischen Lärmexpositionsdauer und Ultraschall-detektierter Steatosis hepatis sowie BMI als Moderator.</w:t>
      </w:r>
    </w:p>
    <w:p>
      <w:r>
        <w:rPr>
          <w:b/>
        </w:rPr>
        <w:t xml:space="preserve">Ergebnis: </w:t>
      </w:r>
      <w:r>
        <w:t>Insgesamt 53,2% der Arbeiter hatten hepatische Steatosis. Lärmexpositionsdauer zeigte unabhängige Assoziation mit Steatosis; modifizierte Poisson-Regression zeigte negativen Interaktionseffekt mit BMI (p=0,006). Bei Normalgewichtigen war jedes zusätzliche Jahr Lärmexposition mit 8,2% höherer Steatosis-Wahrscheinlichkeit assoziiert (p&lt;0,001), nicht signifikant bei Übergewicht/Adipositas. Kritischer Schwellenwert BMI 27,7 kg/m².</w:t>
      </w:r>
    </w:p>
    <w:p>
      <w:r>
        <w:rPr>
          <w:b/>
          <w:sz w:val="19"/>
        </w:rPr>
        <w:t xml:space="preserve">Übertragbarkeit: </w:t>
      </w:r>
      <w:r>
        <w:rPr>
          <w:sz w:val="19"/>
        </w:rPr>
        <w:t>China, aber Lärmexpositions-Effektmodifikation ist gesundheitspolitisch relevant; Berufskrankheit</w:t>
      </w:r>
    </w:p>
    <w:p>
      <w:r>
        <w:rPr>
          <w:color w:val="5A7D3A"/>
          <w:sz w:val="18"/>
        </w:rPr>
        <w:t>https://pubmed.ncbi.nlm.nih.gov/42726755/</w:t>
      </w:r>
    </w:p>
    <w:p>
      <w:pPr>
        <w:pStyle w:val="Heading2"/>
      </w:pPr>
      <w:r>
        <w:t>Adipositas verschärft MS-Behinderung nur ohne HLA-A*02:01-Allel</w:t>
      </w:r>
    </w:p>
    <w:p>
      <w:r>
        <w:rPr>
          <w:i/>
          <w:color w:val="666666"/>
          <w:sz w:val="18"/>
        </w:rPr>
        <w:t>Guo J et al.  ·  J Neurol  ·  08.09.2026  ·  PMID 42709196</w:t>
      </w:r>
    </w:p>
    <w:p>
      <w:r>
        <w:t>Schwedische bevölkerungsbasierte Fall-Kontroll-Studie mit n=2.117 MS-Patienten (Erkrankungsdauer ≤5 Jahre) zur Frage, ob Adipositas-Effekte auf Behinderungsprogression vom HLA-A*02:01-Status abhängen.</w:t>
      </w:r>
    </w:p>
    <w:p>
      <w:r>
        <w:rPr>
          <w:b/>
        </w:rPr>
        <w:t xml:space="preserve">Ergebnis: </w:t>
      </w:r>
      <w:r>
        <w:t>Bei Patienten ohne HLA-A*02:01 war Adipositas (BMI&gt;30) mit erhöhtem Risiko für confirmed disability worsening assoziiert (HR 1,49; 95%-KI 1,12–1,82), mit HR 1,90 für EDSS-Stadium 3 und HR 2,30 für Stadium 4. Bei HLA-A*02:01-positiven Personen fanden sich keine entsprechenden Assoziationen. Additive Interaktionsanalyse stützte einen gemeinsamen Effekt.</w:t>
      </w:r>
    </w:p>
    <w:p>
      <w:r>
        <w:rPr>
          <w:b/>
          <w:sz w:val="19"/>
        </w:rPr>
        <w:t xml:space="preserve">Übertragbarkeit: </w:t>
      </w:r>
      <w:r>
        <w:rPr>
          <w:sz w:val="19"/>
        </w:rPr>
        <w:t>Schweden, Krankheitsregister-Verfolgung, europäisches System; genetische Modifikation versorgungsrelevant</w:t>
      </w:r>
    </w:p>
    <w:p>
      <w:r>
        <w:rPr>
          <w:color w:val="5A7D3A"/>
          <w:sz w:val="18"/>
        </w:rPr>
        <w:t>https://pubmed.ncbi.nlm.nih.gov/42709196/</w:t>
      </w:r>
    </w:p>
    <w:p>
      <w:pPr>
        <w:pStyle w:val="Heading2"/>
      </w:pPr>
      <w:r>
        <w:t>Metabolisches Syndrom erhöht kardiovaskuläres Multimorbidität-Risiko in drei Ländern</w:t>
      </w:r>
    </w:p>
    <w:p>
      <w:r>
        <w:rPr>
          <w:i/>
          <w:color w:val="666666"/>
          <w:sz w:val="18"/>
        </w:rPr>
        <w:t>Zhang W et al.  ·  Sci Rep  ·  24.07.2026  ·  PMID 42693153</w:t>
      </w:r>
    </w:p>
    <w:p>
      <w:r>
        <w:t>Prospektive Kohortenstudie in China, USA und UK (n=17.894) über Assoziation eines kontinuierlichen Metabolischen Syndrom-Scores mit kardiovaskulärer Multimorbidität.</w:t>
      </w:r>
    </w:p>
    <w:p>
      <w:r>
        <w:rPr>
          <w:b/>
        </w:rPr>
        <w:t xml:space="preserve">Ergebnis: </w:t>
      </w:r>
      <w:r>
        <w:t>Nach medianer Nachbeobachtung von 4–7 Jahren traten 1.061 Fälle kardiovaskulärer Multimorbidität auf. Im höchsten Tertil des Metabolischen Syndrom-Scores lag das Hazard Ratio bei 4,27 (CHARLS), 1,77 (HRS) und 1,54 (ELSA). Der gepoolte HR pro 1-SD-Anstieg betrug 1,35 (95%-KI 1,17–1,56). Die Dosis-Wirkungs-Beziehung war nichtlinear in China, linear in USA und UK.</w:t>
      </w:r>
    </w:p>
    <w:p>
      <w:r>
        <w:rPr>
          <w:b/>
          <w:sz w:val="19"/>
        </w:rPr>
        <w:t xml:space="preserve">Übertragbarkeit: </w:t>
      </w:r>
      <w:r>
        <w:rPr>
          <w:sz w:val="19"/>
        </w:rPr>
        <w:t>UK-Biobank-Daten, international vergleichbar; Metabolisches Syndrom ist zentral für deutsche Risikostratifizierung</w:t>
      </w:r>
    </w:p>
    <w:p>
      <w:r>
        <w:rPr>
          <w:color w:val="5A7D3A"/>
          <w:sz w:val="18"/>
        </w:rPr>
        <w:t>https://pubmed.ncbi.nlm.nih.gov/42693153/</w:t>
      </w:r>
    </w:p>
    <w:p>
      <w:pPr>
        <w:pStyle w:val="Heading2"/>
      </w:pPr>
      <w:r>
        <w:t>Adipositas in Kindesalter (5–7 Jahre) ist mit viszeralem Fett im Erwachsenenalter verbunden</w:t>
      </w:r>
    </w:p>
    <w:p>
      <w:r>
        <w:rPr>
          <w:i/>
          <w:color w:val="666666"/>
          <w:sz w:val="18"/>
        </w:rPr>
        <w:t>Lai Q et al.  ·  BMJ Open  ·  16.07.2026  ·  PMID 42463217</w:t>
      </w:r>
    </w:p>
    <w:p>
      <w:r>
        <w:t>Zwei-Stichproben-Mendelsche Randomisierung mit Daten aus Early Growth Genetics Consortium und UK Biobank (n=195.000+) zu altersabhängigen Assoziationen genetisch vorhergesagtem Kindes-BMI mit MRT-gemessenem adultem Fettverteilungsmuster.</w:t>
      </w:r>
    </w:p>
    <w:p>
      <w:r>
        <w:rPr>
          <w:b/>
        </w:rPr>
        <w:t xml:space="preserve">Ergebnis: </w:t>
      </w:r>
      <w:r>
        <w:t>Höherer genetisch vorhergesagter BMI im Alter von 1,5–2 Jahren war mit erhöhtem abdominalem subkutanem Fett assoziiert. Viszerales Fett zeigte das stärkste Signal: höherer BMI im Alter von 5–7 Jahren war mit niedrigerem viszeralem Fett im Erwachsenenalter assoziiert (inverse Assoziationen). Nach Adjustierung für Adoleszenten-BMI schwächten sich die meisten Assoziationen ab; inverse Assoziationen bei 5–7 Jahren blieben nominal signifikant.</w:t>
      </w:r>
    </w:p>
    <w:p>
      <w:r>
        <w:rPr>
          <w:b/>
          <w:sz w:val="19"/>
        </w:rPr>
        <w:t xml:space="preserve">Übertragbarkeit: </w:t>
      </w:r>
      <w:r>
        <w:rPr>
          <w:sz w:val="19"/>
        </w:rPr>
        <w:t>UK-Biobank-Genetik, europäische Geburtskohorte Early Growth Genetics; frühe Fettverteilung determiniert späteren Phänotyp</w:t>
      </w:r>
    </w:p>
    <w:p>
      <w:r>
        <w:rPr>
          <w:color w:val="5A7D3A"/>
          <w:sz w:val="18"/>
        </w:rPr>
        <w:t>https://pubmed.ncbi.nlm.nih.gov/42463217/</w:t>
      </w:r>
    </w:p>
    <w:p>
      <w:pPr>
        <w:pStyle w:val="Heading1"/>
      </w:pPr>
      <w:r>
        <w:t>Aufgenommen am 13.09.2026</w:t>
      </w:r>
    </w:p>
    <w:p>
      <w:pPr>
        <w:pStyle w:val="Heading2"/>
      </w:pPr>
      <w:r>
        <w:t>Gewichtsrebound nach GLP-1-Agonisten-Absetzen: 17,9 % Differenz zu Fortsetzer-Gruppe</w:t>
      </w:r>
    </w:p>
    <w:p>
      <w:r>
        <w:rPr>
          <w:i/>
          <w:color w:val="666666"/>
          <w:sz w:val="18"/>
        </w:rPr>
        <w:t>Qi H et al.  ·  PeerJ  ·  08.09.2026  ·  PMID 42729958</w:t>
      </w:r>
    </w:p>
    <w:p>
      <w:r>
        <w:t>Systematische Übersicht mit Meta-Analyse von sechs RCTs zu Gewichtsveränderungen nach Diskontinuation von GLP-1-Rezeptoragonisten (Tirzepatid, Semaglutid, Liraglutid, Dulaglutid) bei übergewichtigen/adipösen Erwachsenen.</w:t>
      </w:r>
    </w:p>
    <w:p>
      <w:r>
        <w:rPr>
          <w:b/>
        </w:rPr>
        <w:t xml:space="preserve">Ergebnis: </w:t>
      </w:r>
      <w:r>
        <w:t>8.993 Patienten (5.553 Diskontinuation, 3.440 Fortsetzung); Mittlere Gewichtsdifferenz zwischen Gruppen 17,90 % (95%-KI [14,11–21,69], p‹0,0001). Tirzepatid-Rebound signifikant höher als Semaglutid. Gastrointestinale Nebenwirkungen nahmen nach Absetzen ab, kardiovaskuläre Ereignisse unbeeinflusst. Heterogenität I² = 59 %.</w:t>
      </w:r>
    </w:p>
    <w:p>
      <w:r>
        <w:rPr>
          <w:b/>
          <w:sz w:val="19"/>
        </w:rPr>
        <w:t xml:space="preserve">Übertragbarkeit: </w:t>
      </w:r>
      <w:r>
        <w:rPr>
          <w:sz w:val="19"/>
        </w:rPr>
        <w:t>Überwiegend nicht-deutsche Studien; zentral für Versorgungsrealtität: Wie lange müssen Patienten das Mittel nehmen? Kosten-Nutzen bei Wiederzunahme unklar.</w:t>
      </w:r>
    </w:p>
    <w:p>
      <w:r>
        <w:rPr>
          <w:color w:val="5A7D3A"/>
          <w:sz w:val="18"/>
        </w:rPr>
        <w:t>https://pubmed.ncbi.nlm.nih.gov/42729958/</w:t>
      </w:r>
    </w:p>
    <w:p>
      <w:pPr>
        <w:pStyle w:val="Heading2"/>
      </w:pPr>
      <w:r>
        <w:t>Körperrundeindex und Taille-Größe-Verhältnis beste Indikatoren für Hypertonie bei Adipositas</w:t>
      </w:r>
    </w:p>
    <w:p>
      <w:r>
        <w:rPr>
          <w:i/>
          <w:color w:val="666666"/>
          <w:sz w:val="18"/>
        </w:rPr>
        <w:t>Wang C et al.  ·  Front Public Health  ·  28.08.2026  ·  PMID 42729286</w:t>
      </w:r>
    </w:p>
    <w:p>
      <w:r>
        <w:t>Querschnittstudie an 117.609 chinesischen Erwachsenen zur Diskriminanzfähigkeit von zehn Adipositas-Indikatoren für Hypertonie.</w:t>
      </w:r>
    </w:p>
    <w:p>
      <w:r>
        <w:rPr>
          <w:b/>
        </w:rPr>
        <w:t xml:space="preserve">Ergebnis: </w:t>
      </w:r>
      <w:r>
        <w:t>Körperrundeindex (BRI) und Taille-Größe-Verhältnis (WHtR) zeigten die höchste Diskriminanzfähigkeit (AUC: 0,686–0,721). Optimale Cut-offs: BRI 3,66, WHtR 0,52. Jede Einheit Anstieg der BRI z-score war mit 51 % erhöhter Hypertonie-Wahrscheinlichkeit assoziiert (OR 1,51 [1,48–1,53]), WHtR mit 53 % (OR 1,53 [1,50–1,55]). Dosisschema nicht-linear.</w:t>
      </w:r>
    </w:p>
    <w:p>
      <w:r>
        <w:rPr>
          <w:b/>
          <w:sz w:val="19"/>
        </w:rPr>
        <w:t xml:space="preserve">Übertragbarkeit: </w:t>
      </w:r>
      <w:r>
        <w:rPr>
          <w:sz w:val="19"/>
        </w:rPr>
        <w:t>China, nationale Datenbank; Indikatoren sind klinisch einfach anwendbar, übertragbar auf Primärversorgung weltweit.</w:t>
      </w:r>
    </w:p>
    <w:p>
      <w:r>
        <w:rPr>
          <w:color w:val="5A7D3A"/>
          <w:sz w:val="18"/>
        </w:rPr>
        <w:t>https://pubmed.ncbi.nlm.nih.gov/42729286/</w:t>
      </w:r>
    </w:p>
    <w:p>
      <w:pPr>
        <w:pStyle w:val="Heading2"/>
      </w:pPr>
      <w:r>
        <w:t>Häusliche Umgebung in Infanz/Kleinkindzeit mediert nicht Mutter-BMI-zu-Kind-Adipositas-Assoziation</w:t>
      </w:r>
    </w:p>
    <w:p>
      <w:r>
        <w:rPr>
          <w:i/>
          <w:color w:val="666666"/>
          <w:sz w:val="18"/>
        </w:rPr>
        <w:t>Haridas DN et al.  ·  Eur J Pediatr  ·  11.09.2026  ·  PMID 42722906</w:t>
      </w:r>
    </w:p>
    <w:p>
      <w:r>
        <w:t>Retrospektive Kohortenstudie aus ECHO-Programm (USA) an 1.341 Mutter-Kind-Paaren zur Frage, ob Qualität des häuslichen Umfelds (IT-HOME) die Assoziation zwischen mütterlichem Prä-Schwangerschafts-BMI und Kindheits-BMI z-Score (Alter 3–6 Jahre) mediiert.</w:t>
      </w:r>
    </w:p>
    <w:p>
      <w:r>
        <w:rPr>
          <w:b/>
        </w:rPr>
        <w:t xml:space="preserve">Ergebnis: </w:t>
      </w:r>
      <w:r>
        <w:t>Kinder von übergewichtigen/adipösen Müttern hatten signifikant höhere BMI z-Scores als Kinder von normalgewichtigen Müttern, konsistent über sechs IT-HOME-Subskalen und Gesamt-IT-HOME z-Score. Häusliche Umgebung medierte diese Assoziation nicht (kein signifikanter indirekter Effekt über Responsivität, Annahme, Lernmaterialien, Organisation, Varietät, Elternbeteiligung).</w:t>
      </w:r>
    </w:p>
    <w:p>
      <w:r>
        <w:rPr>
          <w:b/>
          <w:sz w:val="19"/>
        </w:rPr>
        <w:t xml:space="preserve">Übertragbarkeit: </w:t>
      </w:r>
      <w:r>
        <w:rPr>
          <w:sz w:val="19"/>
        </w:rPr>
        <w:t>USA-Kohorte, struktureller Aufbau unterscheidet sich; aber zeigt Grenzen von Umfeld-Interventionen allein ohne Diet/Bewegung-Fokus – relevant für deutsche Familien-Adipositas-Programme.</w:t>
      </w:r>
    </w:p>
    <w:p>
      <w:r>
        <w:rPr>
          <w:color w:val="5A7D3A"/>
          <w:sz w:val="18"/>
        </w:rPr>
        <w:t>https://pubmed.ncbi.nlm.nih.gov/42722906/</w:t>
      </w:r>
    </w:p>
    <w:p>
      <w:pPr>
        <w:pStyle w:val="Heading2"/>
      </w:pPr>
      <w:r>
        <w:t>HOMA-IR ≥3,39 identifiziert Kinder mit Adipositas und erhöhtem obstruktivem Schlafapnoe-Risiko</w:t>
      </w:r>
    </w:p>
    <w:p>
      <w:r>
        <w:rPr>
          <w:i/>
          <w:color w:val="666666"/>
          <w:sz w:val="18"/>
        </w:rPr>
        <w:t>Sunman B et al.  ·  Eur J Pediatr  ·  10.09.2026  ·  PMID 42722762</w:t>
      </w:r>
    </w:p>
    <w:p>
      <w:r>
        <w:t>Retrospektive Querschnittstudie an 90 Kindern mit Adipositas (6–18 Jahre) zu Assoziation zwischen Insulinresistenz (HOMA-IR) und obstruktivem Schlafapnoe (OSA)-Schweregrad.</w:t>
      </w:r>
    </w:p>
    <w:p>
      <w:r>
        <w:rPr>
          <w:b/>
        </w:rPr>
        <w:t xml:space="preserve">Ergebnis: </w:t>
      </w:r>
      <w:r>
        <w:t>43,3 % (39/90) mit OSA. Mediane HOMA-IR signifikant höher in OSA-Gruppe (p=0,014). OAHI positiv korreliert mit HOMA-IR (ρ=0,325, p=0,002). Nach Adjustierung für Alter, Geschlecht, BMI z-Score, Schlafeffizienz, Pubertätsstatus: HOMA-IR unabhängig assoziiert mit OSA-Schweregrad (β=0,691, p=0,025). ROC-Analyse: HOMA-IR-Cutoff 3,39 mit 72 % Sensitivität, 59 % Spezifität.</w:t>
      </w:r>
    </w:p>
    <w:p>
      <w:r>
        <w:rPr>
          <w:b/>
          <w:sz w:val="19"/>
        </w:rPr>
        <w:t xml:space="preserve">Übertragbarkeit: </w:t>
      </w:r>
      <w:r>
        <w:rPr>
          <w:sz w:val="19"/>
        </w:rPr>
        <w:t>Türkei (Hacettepe), aber Methode (HOMA-IR) und Schlaflabor-Zugang standard in Europa; praktisches Risiko-Screening-Tool für Primärversorgung.</w:t>
      </w:r>
    </w:p>
    <w:p>
      <w:r>
        <w:rPr>
          <w:color w:val="5A7D3A"/>
          <w:sz w:val="18"/>
        </w:rPr>
        <w:t>https://pubmed.ncbi.nlm.nih.gov/42722762/</w:t>
      </w:r>
    </w:p>
    <w:p>
      <w:pPr>
        <w:pStyle w:val="Heading2"/>
      </w:pPr>
      <w:r>
        <w:t>Slow-Burn-Phänotyp: Kardiovaskuläres Risiko bei niedriger relativer Kalorienaufnahme trotz normales BMI</w:t>
      </w:r>
    </w:p>
    <w:p>
      <w:r>
        <w:rPr>
          <w:i/>
          <w:color w:val="666666"/>
          <w:sz w:val="18"/>
        </w:rPr>
        <w:t>Cho Y et al.  ·  Diabetes Obes Metab  ·  05.08.2026  ·  PMID 42557058</w:t>
      </w:r>
    </w:p>
    <w:p>
      <w:r>
        <w:t>Analyse von 160.905 Biobank-Teilnehmern zur Frage, ob eine niedrigere als erwartete Energieaufnahme relativ zu BMI, Alter und Geschlecht kardiovaskuläres Risiko kennzeichnet.</w:t>
      </w:r>
    </w:p>
    <w:p>
      <w:r>
        <w:rPr>
          <w:b/>
        </w:rPr>
        <w:t xml:space="preserve">Ergebnis: </w:t>
      </w:r>
      <w:r>
        <w:t>Niedrige relative Kalorienaufnahme (‹30. Perzentil) assoziiert mit erhöhtem 3-Punkt-MACE-Risiko (aHR 1,07 [1,01–1,14]) und Myokardinfarkt-Risiko (aHR 1,15 [1,06–1,25]). Normalgewichtige mit Low-Intake-Phänotyp zeigten 17 % höheres MACE-Risiko (aHR 1,17 [1,04–1,33]). Niedrige Muskelkraft erklärte 5,2 % des Überschussrisikos.</w:t>
      </w:r>
    </w:p>
    <w:p>
      <w:r>
        <w:rPr>
          <w:b/>
          <w:sz w:val="19"/>
        </w:rPr>
        <w:t xml:space="preserve">Übertragbarkeit: </w:t>
      </w:r>
      <w:r>
        <w:rPr>
          <w:sz w:val="19"/>
        </w:rPr>
        <w:t>UK Biobank, vergleichbares Gesundheitssystem; Imitiert deutsche Versorgungsrealität mit BMI-zentrierter Risikostratifizierung.</w:t>
      </w:r>
    </w:p>
    <w:p>
      <w:r>
        <w:rPr>
          <w:color w:val="5A7D3A"/>
          <w:sz w:val="18"/>
        </w:rPr>
        <w:t>https://pubmed.ncbi.nlm.nih.gov/42557058/</w:t>
      </w:r>
    </w:p>
    <w:p>
      <w:pPr>
        <w:pStyle w:val="Heading2"/>
      </w:pPr>
      <w:r>
        <w:t>Hormonelle Verhütung verdoppelt Semaglutid-Initiierung bei jungen Frauen – Gewichtszunahme-Sorge als Stimulus</w:t>
      </w:r>
    </w:p>
    <w:p>
      <w:r>
        <w:rPr>
          <w:i/>
          <w:color w:val="666666"/>
          <w:sz w:val="18"/>
        </w:rPr>
        <w:t>Bager MD et al.  ·  JAMA Netw Open  ·  01.07.2026  ·  PMID 42485041</w:t>
      </w:r>
    </w:p>
    <w:p>
      <w:r>
        <w:t>Dänische Register-Fall-Kontroll-Studie zu Assoziation zwischen Hormonkontrazeption und nachfolgender Semaglutid-Verordnung bei Frauen im reproduktiven Alter.</w:t>
      </w:r>
    </w:p>
    <w:p>
      <w:r>
        <w:rPr>
          <w:b/>
        </w:rPr>
        <w:t xml:space="preserve">Ergebnis: </w:t>
      </w:r>
      <w:r>
        <w:t>22.694 Semaglutid-Fälle, 229.640 Kontrollen (Alter 37 Jahre, Median). Alle Hormonkontrazeptions-Muster assoziiert mit Semaglutid-Initiierung vs. Nicht-Nutzer: kombinierte orale Tabletten aHR 1,42 (1,34–1,51); Gestagen-IUPs aHR 1,63 (1,46–1,82); mehrere Typen aHR bis 2,11 (1,97–2,25). BMI-Anpassung attenuierte, eliminierte aber nicht Assoziationen.</w:t>
      </w:r>
    </w:p>
    <w:p>
      <w:r>
        <w:rPr>
          <w:b/>
          <w:sz w:val="19"/>
        </w:rPr>
        <w:t xml:space="preserve">Übertragbarkeit: </w:t>
      </w:r>
      <w:r>
        <w:rPr>
          <w:sz w:val="19"/>
        </w:rPr>
        <w:t>Dänemark, GKV-ähnliche Finanzierung; zeigt Erstattungs-Realität bei off-label-Adipositas-Mittel: Sorge um Gewicht durch Verhütung treibt Semaglutid-Suche.</w:t>
      </w:r>
    </w:p>
    <w:p>
      <w:r>
        <w:rPr>
          <w:color w:val="5A7D3A"/>
          <w:sz w:val="18"/>
        </w:rPr>
        <w:t>https://pubmed.ncbi.nlm.nih.gov/42485041/</w:t>
      </w:r>
    </w:p>
    <w:p>
      <w:pPr>
        <w:pStyle w:val="Heading2"/>
      </w:pPr>
      <w:r>
        <w:t>Kardiovaskulär-renales-metabolisches Syndrom Stufe 4 verdoppelt bis vervierfacht Arthrose-Risiko, besonders bei jüngeren Personen</w:t>
      </w:r>
    </w:p>
    <w:p>
      <w:r>
        <w:rPr>
          <w:i/>
          <w:color w:val="666666"/>
          <w:sz w:val="18"/>
        </w:rPr>
        <w:t>Ma Z et al.  ·  Maturitas  ·  18.07.2026  ·  PMID 42470749</w:t>
      </w:r>
    </w:p>
    <w:p>
      <w:r>
        <w:t>Prospektive Kohortenstudie an 256.364 UK-Biobank-Teilnehmern ohne baseline-Arthrose zu Assoziation zwischen kardiovaskulär-renales-metabolisches (CKM) Syndrom-Stadien (0–4) und Inzidenz von Hüft-/Knie-Arthrose über 11 Jahre.</w:t>
      </w:r>
    </w:p>
    <w:p>
      <w:r>
        <w:rPr>
          <w:b/>
        </w:rPr>
        <w:t xml:space="preserve">Ergebnis: </w:t>
      </w:r>
      <w:r>
        <w:t>8.209 Hüft-, 12.729 Knie-Arthrose-Fälle. Stage 4 vs. Stage 0: Hüftarthrose HR 1,76 (1,58–1,95), Kniearthrose HR 2,67 (2,44–2,93). Stärker bei &lt;60 Jahren. Geschlechtsdifferenzen: Hüfte risikanter bei Männern, Knie bei Frauen. Genetische Hochrisiko + Stage 4: Hüfte HR 3,10 (2,60–3,70), Knie HR 4,00 (3,42–4,68). Additive Interaktion signifikant.</w:t>
      </w:r>
    </w:p>
    <w:p>
      <w:r>
        <w:rPr>
          <w:b/>
          <w:sz w:val="19"/>
        </w:rPr>
        <w:t xml:space="preserve">Übertragbarkeit: </w:t>
      </w:r>
      <w:r>
        <w:rPr>
          <w:sz w:val="19"/>
        </w:rPr>
        <w:t>UK Biobank, aber Arthrose-Definition und Metabolismus-Messung sind international standard; zeigt Langzeit-Funktionsverlust durch Adipositas-Syndrom – relevant für deutsche Versorgungsplanung älterer Patienten.</w:t>
      </w:r>
    </w:p>
    <w:p>
      <w:r>
        <w:rPr>
          <w:color w:val="5A7D3A"/>
          <w:sz w:val="18"/>
        </w:rPr>
        <w:t>https://pubmed.ncbi.nlm.nih.gov/42470749/</w:t>
      </w:r>
    </w:p>
    <w:p>
      <w:pPr>
        <w:pStyle w:val="Heading1"/>
      </w:pPr>
      <w:r>
        <w:t>Aufgenommen am 12.09.2026</w:t>
      </w:r>
    </w:p>
    <w:p>
      <w:pPr>
        <w:pStyle w:val="Heading2"/>
      </w:pPr>
      <w:r>
        <w:t>Strukturierte Schulungen für Adipositasbetreuende verbessern Fachkompetenz um 41%</w:t>
      </w:r>
    </w:p>
    <w:p>
      <w:r>
        <w:rPr>
          <w:i/>
          <w:color w:val="666666"/>
          <w:sz w:val="18"/>
        </w:rPr>
        <w:t>Wu R et al.  ·  Clin Obes  ·  Okt. 2026  ·  PMID 42728234</w:t>
      </w:r>
    </w:p>
    <w:p>
      <w:r>
        <w:t>Metaanalyse von 18 Studien (2020–2026) zu Effektivität strukturierter Weiterbildungsprogramme für Gesundheitsfachpersonen in Adipositasmanagement, gemessen an Praxiskompetenz und patientenrelevanten Ergebnissen.</w:t>
      </w:r>
    </w:p>
    <w:p>
      <w:r>
        <w:rPr>
          <w:b/>
        </w:rPr>
        <w:t xml:space="preserve">Ergebnis: </w:t>
      </w:r>
      <w:r>
        <w:t>Poolierte Analyse (7 Studien) zeigte signifikante Verbesserungen der Fachkompetenz (SMD=0,41; 95%-KI 0,12–0,70; p&lt;0,01). Programme ≥4 h erzeugten stärkere Effekte (SMD=0,68; 95%-KI 0,30–1,07; p&lt;0,01) als kürzere Interventionen. RCTs zeigten Effekt (SMD=0,53), Nicht-RCTs nicht. Persistentes Problem bleibt geringe Engagement-Rate in digital gestützten Angeboten.</w:t>
      </w:r>
    </w:p>
    <w:p>
      <w:r>
        <w:rPr>
          <w:b/>
          <w:sz w:val="19"/>
        </w:rPr>
        <w:t xml:space="preserve">Übertragbarkeit: </w:t>
      </w:r>
      <w:r>
        <w:rPr>
          <w:sz w:val="19"/>
        </w:rPr>
        <w:t>Deutschland: Fachkompetenz ist trainierbar; Länge und Intensität entscheidend – relevant für Aus- und Weiterbildung in Praxen und Kliniken.</w:t>
      </w:r>
    </w:p>
    <w:p>
      <w:r>
        <w:rPr>
          <w:color w:val="5A7D3A"/>
          <w:sz w:val="18"/>
        </w:rPr>
        <w:t>https://pubmed.ncbi.nlm.nih.gov/42728234/</w:t>
      </w:r>
    </w:p>
    <w:p>
      <w:pPr>
        <w:pStyle w:val="Heading2"/>
      </w:pPr>
      <w:r>
        <w:t>Höhere Adipositas erhöht Infektionssterblichkeit 2,5-fach – Mendelian-Randomization-Studie</w:t>
      </w:r>
    </w:p>
    <w:p>
      <w:r>
        <w:rPr>
          <w:i/>
          <w:color w:val="666666"/>
          <w:sz w:val="18"/>
        </w:rPr>
        <w:t>Lawal L et al.  ·  Int J Epidemiol  ·  18.08.2026  ·  PMID 42727090</w:t>
      </w:r>
    </w:p>
    <w:p>
      <w:r>
        <w:t>Mendelian-Randomization-Analyse bei 126.491 mexikanischen Erwachsenen (Alter 35–74 Jahre) über 20 Jahre Nachverfolgung zum Effekt verschiedener Adipositätsmaße auf infektionsassoziierte Mortalität.</w:t>
      </w:r>
    </w:p>
    <w:p>
      <w:r>
        <w:rPr>
          <w:b/>
        </w:rPr>
        <w:t xml:space="preserve">Ergebnis: </w:t>
      </w:r>
      <w:r>
        <w:t>2.592 infektionsbedingte Todesfälle; genotypisch vorhergesagte höhere Fettmasse-Prozentsatz assoziiert mit HR 2,54 (95%-KI 1,91–3,38) für Infektionstod; Fettmasse-Prozentsatz zeigte stärkere Assoziation als BMI oder Hüftumfang. Assoziation über sechs Infektionssubtypen konsistent. Ergebnis deutet auf kausalen Zusammenhang hin.</w:t>
      </w:r>
    </w:p>
    <w:p>
      <w:r>
        <w:rPr>
          <w:b/>
          <w:sz w:val="19"/>
        </w:rPr>
        <w:t xml:space="preserve">Übertragbarkeit: </w:t>
      </w:r>
      <w:r>
        <w:rPr>
          <w:sz w:val="19"/>
        </w:rPr>
        <w:t>Mexiko, aber universal relevant: Adipositas erhöht nicht nur cardiometabole, sondern auch Infektionsrisiko – Versorgungsargument für Gewichtsintervention.</w:t>
      </w:r>
    </w:p>
    <w:p>
      <w:r>
        <w:rPr>
          <w:color w:val="5A7D3A"/>
          <w:sz w:val="18"/>
        </w:rPr>
        <w:t>https://pubmed.ncbi.nlm.nih.gov/42727090/</w:t>
      </w:r>
    </w:p>
    <w:p>
      <w:pPr>
        <w:pStyle w:val="Heading2"/>
      </w:pPr>
      <w:r>
        <w:t>Seltene Adipositas-Gene: MC4R-Defekte – Pathwege und klinische Betreung definiert</w:t>
      </w:r>
    </w:p>
    <w:p>
      <w:r>
        <w:rPr>
          <w:i/>
          <w:color w:val="666666"/>
          <w:sz w:val="18"/>
        </w:rPr>
        <w:t>Argente J et al.  ·  Clin Obes  ·  Okt. 2026  ·  PMID 42723356</w:t>
      </w:r>
    </w:p>
    <w:p>
      <w:r>
        <w:t>Konsensus-Konferenz (IMPROVE 2025, Prag) von 161 Klinikern aus 19 Ländern zu monogenen Adipositasformen und Hyperphagie im MC4R-Pathway, mit Updates zu Diagnostik, natürlichem Verlauf und Therapie.</w:t>
      </w:r>
    </w:p>
    <w:p>
      <w:r>
        <w:rPr>
          <w:b/>
        </w:rPr>
        <w:t xml:space="preserve">Ergebnis: </w:t>
      </w:r>
      <w:r>
        <w:t>Zentrale Erkenntnisse: MC4R-Pathway-Defekte und Bardet-Biedl-Syndrom erfordern spezifische genetische Diagnostik; frühe Intervention und multidisziplinäre Betreuung (inkl. Verhaltensansätze und zielgerichtete Medikamente) verbessernn Lebensqualität; Patientenversorgung steht zentral. Praktische Modelle für spezialisierte Zentren beschrieben.</w:t>
      </w:r>
    </w:p>
    <w:p>
      <w:r>
        <w:rPr>
          <w:b/>
          <w:sz w:val="19"/>
        </w:rPr>
        <w:t xml:space="preserve">Übertragbarkeit: </w:t>
      </w:r>
      <w:r>
        <w:rPr>
          <w:sz w:val="19"/>
        </w:rPr>
        <w:t>Europa (Deutschland, Niederlande, Frankreich, UK vertreten): Seltene Formen erfordern Spezialisierung und Vernetzung – Implikation für Referralstrukturen.</w:t>
      </w:r>
    </w:p>
    <w:p>
      <w:r>
        <w:rPr>
          <w:color w:val="5A7D3A"/>
          <w:sz w:val="18"/>
        </w:rPr>
        <w:t>https://pubmed.ncbi.nlm.nih.gov/42723356/</w:t>
      </w:r>
    </w:p>
    <w:p>
      <w:pPr>
        <w:pStyle w:val="Heading2"/>
      </w:pPr>
      <w:r>
        <w:t>Adipositas vor Darmkrebs-Diagnose: Das 'Paradoxon' erklärt durch Tumorbedingte Gewichtsverluste</w:t>
      </w:r>
    </w:p>
    <w:p>
      <w:r>
        <w:rPr>
          <w:i/>
          <w:color w:val="666666"/>
          <w:sz w:val="18"/>
        </w:rPr>
        <w:t>Mandic M et al.  ·  JAMA Netw Open  ·  03.08.2026  ·  PMID 42599706</w:t>
      </w:r>
    </w:p>
    <w:p>
      <w:r>
        <w:t>Bevölkerungsbasierte Fall-Kontroll-Studie mit prospektiver Nachverfolgung (5521 Darmkrebspatienten aus Südwestdeutschland 2001–2016) zum Einfluss von BMI bei Diagnose und prädiagnostischem Gewichtsverlust auf Gesamtüberleben, Darmkrebsspezifisches Überleben und Rezidivfreiheit.</w:t>
      </w:r>
    </w:p>
    <w:p>
      <w:r>
        <w:rPr>
          <w:b/>
        </w:rPr>
        <w:t xml:space="preserve">Ergebnis: </w:t>
      </w:r>
      <w:r>
        <w:t>2.429 Todesfälle über 5,2 Jahre Median-Nachverfolgung; prädiagnostischer Gewichtsverlust &gt;10% mit HR 1,55 (95%-KI 1,39–1,72) für schlechteres Überleben assoziiert. Nach gegenseitiger Anpassung für BMI bei Diagnose und prädiagnostischen Gewichtswandel wurden vermeintliche Übergewichts-Schutzeffekte auf Null reduziert. Schlussfolgerung: Adipositas-Paradoxon erklärt durch okkulte Krebssymptomatik.</w:t>
      </w:r>
    </w:p>
    <w:p>
      <w:r>
        <w:rPr>
          <w:b/>
          <w:sz w:val="19"/>
        </w:rPr>
        <w:t xml:space="preserve">Übertragbarkeit: </w:t>
      </w:r>
      <w:r>
        <w:rPr>
          <w:sz w:val="19"/>
        </w:rPr>
        <w:t>Deutsche Klinikdaten, vergleichbare klinische Praxis; zeigt, dass BMI ohne Gewichtsverlauf-Kontext irreführend ist – wichtig für Stratifizierung.</w:t>
      </w:r>
    </w:p>
    <w:p>
      <w:r>
        <w:rPr>
          <w:color w:val="5A7D3A"/>
          <w:sz w:val="18"/>
        </w:rPr>
        <w:t>https://pubmed.ncbi.nlm.nih.gov/42599706/</w:t>
      </w:r>
    </w:p>
    <w:p>
      <w:pPr>
        <w:pStyle w:val="Heading2"/>
      </w:pPr>
      <w:r>
        <w:t>Endoskopische Magenplikation erreicht 14,75 % Gewichtsverlust in 6 Monaten – europäische Multicenter-Studie</w:t>
      </w:r>
    </w:p>
    <w:p>
      <w:r>
        <w:rPr>
          <w:i/>
          <w:color w:val="666666"/>
          <w:sz w:val="18"/>
        </w:rPr>
        <w:t>Turró Araú R et al.  ·  Obes Surg  ·  20.07.2026  ·  PMID 42474954</w:t>
      </w:r>
    </w:p>
    <w:p>
      <w:r>
        <w:t>Retrospektive Multicenter-Kohortenstudie (54 Patienten über 6 Zentren in Europa) zur technischen Reproduzierbarkeit, klinischen Wirksamkeit und Sicherheit der MEGA-Technik (modifizierte endoskopische Gastroplizierung mit 2 G-LIX-Devices) bei Adipositas.</w:t>
      </w:r>
    </w:p>
    <w:p>
      <w:r>
        <w:rPr>
          <w:b/>
        </w:rPr>
        <w:t xml:space="preserve">Ergebnis: </w:t>
      </w:r>
      <w:r>
        <w:t>Mittlerer Gewichtsverlust 14,75±6,24 % TBWL (total body weight loss) bzw. 56,17±33,75 % EBWL (excess body weight loss); 81,5 % der Patienten erreichten ≥10 % TBWL. Keine schweren unerwünschten Ereignisse. Keine signifikanten Unterschiede zwischen Zentren (p=0,406). Keine Korrelation Anzahl Nähte–Gewichtsverlust.</w:t>
      </w:r>
    </w:p>
    <w:p>
      <w:r>
        <w:rPr>
          <w:b/>
          <w:sz w:val="19"/>
        </w:rPr>
        <w:t xml:space="preserve">Übertragbarkeit: </w:t>
      </w:r>
      <w:r>
        <w:rPr>
          <w:sz w:val="19"/>
        </w:rPr>
        <w:t>Europa (Spanien, Italien, Niederlande, Österreich, Deutschland): Kostengünstige endoskopische Alternative zu Chirurgie; langzeitdaten fehlen noch.</w:t>
      </w:r>
    </w:p>
    <w:p>
      <w:r>
        <w:rPr>
          <w:color w:val="5A7D3A"/>
          <w:sz w:val="18"/>
        </w:rPr>
        <w:t>https://pubmed.ncbi.nlm.nih.gov/42474954/</w:t>
      </w:r>
    </w:p>
    <w:p>
      <w:pPr>
        <w:pStyle w:val="Heading2"/>
      </w:pPr>
      <w:r>
        <w:t>Cushing-Remission heilt metabolische Schäden nicht: Diabetes siebenfach häufiger nach 7 Jahren</w:t>
      </w:r>
    </w:p>
    <w:p>
      <w:r>
        <w:rPr>
          <w:i/>
          <w:color w:val="666666"/>
          <w:sz w:val="18"/>
        </w:rPr>
        <w:t>Rubinstein G et al.  ·  Diabetes Res Clin Pract  ·  13.07.2026  ·  PMID 42442551</w:t>
      </w:r>
    </w:p>
    <w:p>
      <w:r>
        <w:t>Longitudinale Kohortenstudie (99 Cushing-Patienten vs. 396 alters- und geschlechtsgematcht Kontrollen aus KORA) zur Persistenz metabolischer Störungen 7 Jahre nach biochemischer Remission vom Cushing-Syndrom.</w:t>
      </w:r>
    </w:p>
    <w:p>
      <w:r>
        <w:rPr>
          <w:b/>
        </w:rPr>
        <w:t xml:space="preserve">Ergebnis: </w:t>
      </w:r>
      <w:r>
        <w:t>Trotz langfristiger Verbesserung nach Remission: höhere Fettmasse (39% vs. 35%, p=0,0013), erhöhte Waist-to-Hip-Ratio (0,89 vs. 0,82, p&lt;0,0001), erhöhtes HbA1c (5,5% vs. 5,4%, p=0,0087), Diabetes 19% vs. 4% (p&lt;0,0001). Entzündungsmarker stark assoziiert – deuten auf anhaltende inflammatorische Pathologie hin.</w:t>
      </w:r>
    </w:p>
    <w:p>
      <w:r>
        <w:rPr>
          <w:b/>
          <w:sz w:val="19"/>
        </w:rPr>
        <w:t xml:space="preserve">Übertragbarkeit: </w:t>
      </w:r>
      <w:r>
        <w:rPr>
          <w:sz w:val="19"/>
        </w:rPr>
        <w:t>Deutschland: Deutsche LMU-München-Daten; zeigt, dass hormonelle Heilung Organschäden nicht umkehrt – Nachsorge und Metabolische Reha notwendig.</w:t>
      </w:r>
    </w:p>
    <w:p>
      <w:r>
        <w:rPr>
          <w:color w:val="5A7D3A"/>
          <w:sz w:val="18"/>
        </w:rPr>
        <w:t>https://pubmed.ncbi.nlm.nih.gov/42442551/</w:t>
      </w:r>
    </w:p>
    <w:p>
      <w:pPr>
        <w:pStyle w:val="Heading1"/>
      </w:pPr>
      <w:r>
        <w:t>Aufgenommen am 11.09.2026</w:t>
      </w:r>
    </w:p>
    <w:p>
      <w:pPr>
        <w:pStyle w:val="Heading2"/>
      </w:pPr>
      <w:r>
        <w:t>Adipositasprävention im Kindesalter: Strategische Lücken in spanischen Gesundheitsplänen</w:t>
      </w:r>
    </w:p>
    <w:p>
      <w:r>
        <w:rPr>
          <w:i/>
          <w:color w:val="666666"/>
          <w:sz w:val="18"/>
        </w:rPr>
        <w:t>Rondón Martínez E et al.  ·  Rev Esp Salud Publica  ·  09.09.2026  ·  PMID 42719940</w:t>
      </w:r>
    </w:p>
    <w:p>
      <w:r>
        <w:t>Eine Scoping Review untersuchte, wie die Adipositasprävention bei Kindern in spanischen nationalen und regionalen Gesundheitsplänen verankert ist.</w:t>
      </w:r>
    </w:p>
    <w:p>
      <w:r>
        <w:rPr>
          <w:b/>
        </w:rPr>
        <w:t xml:space="preserve">Ergebnis: </w:t>
      </w:r>
      <w:r>
        <w:t>Von 22 analysierten Plänen enthielten nur 9 regionale Ziele zur Adipositasprävention bei Kindern, davon nur eine quantifiziert; Programme und konkrete Aktivitäten waren in der Mehrzahl (n=8) nicht definiert. Die Umsetzung bleibt fragmentarisch und ohne messbare Vorgaben.</w:t>
      </w:r>
    </w:p>
    <w:p>
      <w:r>
        <w:rPr>
          <w:b/>
          <w:sz w:val="19"/>
        </w:rPr>
        <w:t xml:space="preserve">Übertragbarkeit: </w:t>
      </w:r>
      <w:r>
        <w:rPr>
          <w:sz w:val="19"/>
        </w:rPr>
        <w:t>Spanien, öffentliches Gesundheitssystem; Strukturlücken übertragbar auf deutschsprachige Länder.</w:t>
      </w:r>
    </w:p>
    <w:p>
      <w:r>
        <w:rPr>
          <w:color w:val="5A7D3A"/>
          <w:sz w:val="18"/>
        </w:rPr>
        <w:t>https://pubmed.ncbi.nlm.nih.gov/42719940/</w:t>
      </w:r>
    </w:p>
    <w:p>
      <w:pPr>
        <w:pStyle w:val="Heading2"/>
      </w:pPr>
      <w:r>
        <w:t>GLP-1-Agonisten nach Adipositaschirurgie bei unzureichendem Erfolg: Metaanalyse</w:t>
      </w:r>
    </w:p>
    <w:p>
      <w:r>
        <w:rPr>
          <w:i/>
          <w:color w:val="666666"/>
          <w:sz w:val="18"/>
        </w:rPr>
        <w:t>Santos-Pereira M et al.  ·  Front Endocrinol (Lausanne)  ·  26.08.2026  ·  PMID 42718598</w:t>
      </w:r>
    </w:p>
    <w:p>
      <w:r>
        <w:t>Eine systematische Übersicht und Metaanalyse (27 Studien, 19 in die Metaanalyse) untersuchte Wirksamkeit und Sicherheit von Liraglutid, Semaglutid und Tirzepatid bei Patienten, die ≥1 Jahr nach bariatrischen Eingriffen unzureichenden Gewichtsverlust oder Wiederzunahme aufwiesen.</w:t>
      </w:r>
    </w:p>
    <w:p>
      <w:r>
        <w:rPr>
          <w:b/>
        </w:rPr>
        <w:t xml:space="preserve">Ergebnis: </w:t>
      </w:r>
      <w:r>
        <w:t>Nach GLP-1-Agonisten-Therapie: Gewichtsverlust mit Liraglutid 9,22% (12 Monate) und Semaglutid 9,02% (12 Monate). Tirzepatid zeigte 4,23% zusätzlichen Gewichtsverlust gegenüber Semaglutid (6 Monate). Keine ernsthaften Nebenwirkungen; berichtete Effekte waren primär leichte gastrointestinale Symptome. Die substantielle Heterogenität der Studien erfordert Vorsicht bei der Interpretation.</w:t>
      </w:r>
    </w:p>
    <w:p>
      <w:r>
        <w:rPr>
          <w:b/>
          <w:sz w:val="19"/>
        </w:rPr>
        <w:t xml:space="preserve">Übertragbarkeit: </w:t>
      </w:r>
      <w:r>
        <w:rPr>
          <w:sz w:val="19"/>
        </w:rPr>
        <w:t>Portugal, Übersichtsarbeit mit internationalem Pool; GLP-1-Einsatz nach Chirurgie als Rescuetherapie transferierbar.</w:t>
      </w:r>
    </w:p>
    <w:p>
      <w:r>
        <w:rPr>
          <w:color w:val="5A7D3A"/>
          <w:sz w:val="18"/>
        </w:rPr>
        <w:t>https://pubmed.ncbi.nlm.nih.gov/42718598/</w:t>
      </w:r>
    </w:p>
    <w:p>
      <w:pPr>
        <w:pStyle w:val="Heading2"/>
      </w:pPr>
      <w:r>
        <w:t>Menstruationsfunktion und Fertilität nach metabolischer Adipositaschirurgie bei Frauen im reproduktiven Alter</w:t>
      </w:r>
    </w:p>
    <w:p>
      <w:r>
        <w:rPr>
          <w:i/>
          <w:color w:val="666666"/>
          <w:sz w:val="18"/>
        </w:rPr>
        <w:t>Whyte M et al.  ·  Obes Surg  ·  05.08.2026  ·  PMID 42554792</w:t>
      </w:r>
    </w:p>
    <w:p>
      <w:r>
        <w:t>Eine prospektive Kohortenstudie untersuchte Veränderungen in Menstruationsfunktion, Hormonprofilen und Fertilitätsparametern bei Frauen im reproduktiven Alter vor und nach Bypass oder Sleeve im Vergleich zu Kontrollen mit konservativer Gewichtsabnahme.</w:t>
      </w:r>
    </w:p>
    <w:p>
      <w:r>
        <w:rPr>
          <w:b/>
        </w:rPr>
        <w:t xml:space="preserve">Ergebnis: </w:t>
      </w:r>
      <w:r>
        <w:t>84 chirurgisch behandelte Frauen; 64-73% Excess-Weight-Loss bei 24 Monaten. Anti-Müller-Hormon sank (16,6 auf 16,0 pmol/L, p&lt;0,001); Sex-Hormon-Bindungs-Globulin stieg (30,6 auf 66,8 nmol/L, p&lt;0,001); freier Androgenindex sank (3,92 auf 1,84, p&lt;0,001). Unregelmäßige Menstruation und Hirsutismus nahmen ab. Polyzystische Ovarienstruktur reduzierte sich von 33% auf 10% (n=17). 20 Schwangerschaften traten auf, überwiegend 12-24 Monate postoperativ.</w:t>
      </w:r>
    </w:p>
    <w:p>
      <w:r>
        <w:rPr>
          <w:b/>
          <w:sz w:val="19"/>
        </w:rPr>
        <w:t xml:space="preserve">Übertragbarkeit: </w:t>
      </w:r>
      <w:r>
        <w:rPr>
          <w:sz w:val="19"/>
        </w:rPr>
        <w:t>Großbritannien, nationales Gesundheitssystem; Reproduktionsgesundheit als langfristiges Outcome über die Gewichtskurve hinaus.</w:t>
      </w:r>
    </w:p>
    <w:p>
      <w:r>
        <w:rPr>
          <w:color w:val="5A7D3A"/>
          <w:sz w:val="18"/>
        </w:rPr>
        <w:t>https://pubmed.ncbi.nlm.nih.gov/42554792/</w:t>
      </w:r>
    </w:p>
    <w:p>
      <w:pPr>
        <w:pStyle w:val="Heading2"/>
      </w:pPr>
      <w:r>
        <w:t>Proteinzufuhr und Sarkopenische Adipositas bei älteren Erwachsenen: EPIC-Norfolk-Kohorte</w:t>
      </w:r>
    </w:p>
    <w:p>
      <w:r>
        <w:rPr>
          <w:i/>
          <w:color w:val="666666"/>
          <w:sz w:val="18"/>
        </w:rPr>
        <w:t>Baabbad T et al.  ·  Public Health Nutr  ·  31.07.2026  ·  PMID 42535295</w:t>
      </w:r>
    </w:p>
    <w:p>
      <w:r>
        <w:t>Eine prospektive Analyse der EPIC-Norfolk-Kohorte untersuchte Assoziationen zwischen Proteinzufuhr (Gesamtmenge und Quelle) und der Prävalenz sarkopenischer Adipositas bei 14.816 Personen mittleren und höheren Alters.</w:t>
      </w:r>
    </w:p>
    <w:p>
      <w:r>
        <w:rPr>
          <w:b/>
        </w:rPr>
        <w:t xml:space="preserve">Ergebnis: </w:t>
      </w:r>
      <w:r>
        <w:t>Prävalenz sarkopenischer Adipositas: 8,9% Männer, 11,9% Frauen. Mediane Proteinzufuhr war signifikant niedriger bei sarkopenischer Adipositas (Gesamt: 0,80 vs. 1,04 g/kg KG/d, p&lt;0,001; tierisch: 0,51 vs. 0,66, p&lt;0,001; pflanzlich: 0,25 vs. 0,35, p&lt;0,001). Höhere Zufuhr war mit niedrigerem Risiko assoziiert (Gesamtprotein: OR 0,14 [95% CI 0,08-0,20]; tierisch: OR 0,58 [0,53-0,62]; pflanzlich: OR 0,46 [0,41-0,52], alle p&lt;0,001).</w:t>
      </w:r>
    </w:p>
    <w:p>
      <w:r>
        <w:rPr>
          <w:b/>
          <w:sz w:val="19"/>
        </w:rPr>
        <w:t xml:space="preserve">Übertragbarkeit: </w:t>
      </w:r>
      <w:r>
        <w:rPr>
          <w:sz w:val="19"/>
        </w:rPr>
        <w:t>Großbritannien, bevölkerungsgestützter Querschnitt; funktionelle Körperkomposition statt BMI als Zielgröße.</w:t>
      </w:r>
    </w:p>
    <w:p>
      <w:r>
        <w:rPr>
          <w:color w:val="5A7D3A"/>
          <w:sz w:val="18"/>
        </w:rPr>
        <w:t>https://pubmed.ncbi.nlm.nih.gov/42535295/</w:t>
      </w:r>
    </w:p>
    <w:p>
      <w:pPr>
        <w:pStyle w:val="Heading2"/>
      </w:pPr>
      <w:r>
        <w:t>Adipositaschirurgie zur Prävention kardiovaskulärer Ereignisse: BRAVE-Studie mit ersten Ergebnissen</w:t>
      </w:r>
    </w:p>
    <w:p>
      <w:r>
        <w:rPr>
          <w:i/>
          <w:color w:val="666666"/>
          <w:sz w:val="18"/>
        </w:rPr>
        <w:t>Wong JA et al.  ·  Am Heart J  ·  25.07.2026  ·  PMID 42501951</w:t>
      </w:r>
    </w:p>
    <w:p>
      <w:r>
        <w:t>Die BRAVE-Studie randomisiert Patienten mit Adipositas und etablierter kardiovaskulärer Erkrankung zwischen Adipositaschirurgie (Sleeve, RYGB, duodenaler Switch) und strukturierter medizinischer Gewichtsreduktion; Vanguard-Phase zeigt Machbarkeit.</w:t>
      </w:r>
    </w:p>
    <w:p>
      <w:r>
        <w:rPr>
          <w:b/>
        </w:rPr>
        <w:t xml:space="preserve">Ergebnis: </w:t>
      </w:r>
      <w:r>
        <w:t>Von 2.514 gescreenten Patienten wurden 200 randomisiert (Mittelalter 59,8 Jahre; 37% Frauen; mittlerer BMI 44 kg/m²). Kohorte trägt hohe kardiovaskuläre Last: 82% Hypertonie, 45% Diabetes, 44% koronare Herzkrankheit, 39% Herzinsuffizienz, 48% Vorhofflimmern. Rekrutierungsbarrieren wurden identifiziert und durch gezielte Schulung behoben.</w:t>
      </w:r>
    </w:p>
    <w:p>
      <w:r>
        <w:rPr>
          <w:b/>
          <w:sz w:val="19"/>
        </w:rPr>
        <w:t xml:space="preserve">Übertragbarkeit: </w:t>
      </w:r>
      <w:r>
        <w:rPr>
          <w:sz w:val="19"/>
        </w:rPr>
        <w:t>Kanada, Brasilien, Italien, Spanien; multinationales Design mit vergleichbaren Gesundheitssystemen.</w:t>
      </w:r>
    </w:p>
    <w:p>
      <w:r>
        <w:rPr>
          <w:color w:val="5A7D3A"/>
          <w:sz w:val="18"/>
        </w:rPr>
        <w:t>https://pubmed.ncbi.nlm.nih.gov/42501951/</w:t>
      </w:r>
    </w:p>
    <w:p>
      <w:pPr>
        <w:pStyle w:val="Heading2"/>
      </w:pPr>
      <w:r>
        <w:t>Kosteneffektivität endoskopischer Adipositastherapien gegenüber Chirurgie und Semaglutid: UK-Analyse</w:t>
      </w:r>
    </w:p>
    <w:p>
      <w:r>
        <w:rPr>
          <w:i/>
          <w:color w:val="666666"/>
          <w:sz w:val="18"/>
        </w:rPr>
        <w:t>Afentou N et al.  ·  Obes Surg  ·  22.07.2026  ·  PMID 42484827</w:t>
      </w:r>
    </w:p>
    <w:p>
      <w:r>
        <w:t>Eine gesundheitsökonomische Analyse mit Markov-Modellen verglich Kosteneffektivität endoskopischer Barrieremethoden (Sleeve-Gastroplastie, Magenballon) mit laparoskopischer Sleeve-Gastrektomie und Semaglutid über 5 Jahre aus UK-NHS-Perspektive.</w:t>
      </w:r>
    </w:p>
    <w:p>
      <w:r>
        <w:rPr>
          <w:b/>
        </w:rPr>
        <w:t xml:space="preserve">Ergebnis: </w:t>
      </w:r>
      <w:r>
        <w:t>Bei Adipositas Klasse II–III war LSG kosteneffektiv gegenüber ESG (£10.593/QALY). Bei Klasse I–II zeigte ESG marginale QALY-Vorteile gegenüber Semaglutid bei leicht höheren Kosten (ICER £7.267/QALY). Semaglutid war dominant gegenüber IGB (größerer Nutzen zu niedrigerem Preis). Sensitivitätsanalysen zeigten Abhängigkeit von Interventionskosten und Langzeit-Gewichtsverlauf.</w:t>
      </w:r>
    </w:p>
    <w:p>
      <w:r>
        <w:rPr>
          <w:b/>
          <w:sz w:val="19"/>
        </w:rPr>
        <w:t xml:space="preserve">Übertragbarkeit: </w:t>
      </w:r>
      <w:r>
        <w:rPr>
          <w:sz w:val="19"/>
        </w:rPr>
        <w:t>Großbritannien, NHS-Perspektive; vergleichbar mit deutschen Kostenübernahmebedingungen für Verfahren.</w:t>
      </w:r>
    </w:p>
    <w:p>
      <w:r>
        <w:rPr>
          <w:color w:val="5A7D3A"/>
          <w:sz w:val="18"/>
        </w:rPr>
        <w:t>https://pubmed.ncbi.nlm.nih.gov/42484827/</w:t>
      </w:r>
    </w:p>
    <w:p>
      <w:pPr>
        <w:pStyle w:val="Heading1"/>
      </w:pPr>
      <w:r>
        <w:t>Aufgenommen am 10.09.2026</w:t>
      </w:r>
    </w:p>
    <w:p>
      <w:pPr>
        <w:pStyle w:val="Heading2"/>
      </w:pPr>
      <w:r>
        <w:t>Kombiniertes Aerob- und Krafttraining senkt Blutzucker und Lipide bei Diabesity optimal</w:t>
      </w:r>
    </w:p>
    <w:p>
      <w:r>
        <w:rPr>
          <w:i/>
          <w:color w:val="666666"/>
          <w:sz w:val="18"/>
        </w:rPr>
        <w:t>Al-Mhanna SB et al.  ·  J Sports Sci Med  ·  01.09.2026  ·  PMID 42713583</w:t>
      </w:r>
    </w:p>
    <w:p>
      <w:r>
        <w:t>Netzwerk-Metaanalyse von 32 RCTs (n=1.519 Patienten mit Typ-2-Diabetes und Adipositas) zum Vergleich von Trainingsmodalitäten auf Stoffwechselparameter und Körperkomposition.</w:t>
      </w:r>
    </w:p>
    <w:p>
      <w:r>
        <w:rPr>
          <w:b/>
        </w:rPr>
        <w:t xml:space="preserve">Ergebnis: </w:t>
      </w:r>
      <w:r>
        <w:t>Kombiniertes Aerob- und Krafttraining zeigte beste Ergebnisse für BMI-Reduktion (MD −1,78; SUCRA 93%), Triglyzeride (TG MD −0,28; SUCRA 95%), Gesamt-Cholesterin (TC MD −0,36; SUCRA 94,2%) und HOMA-IR (MD −0,92; SUCRA 92,6%). HDL stieg am stärksten (MD +0,12; SUCRA 97,5%). Aerobtraining allein senkte Nüchternblutzucker besser (MD −0,89 mmol/L), erhöhte aber Körperfett und senkte fettfreie Masse stärker als Krafttraining.</w:t>
      </w:r>
    </w:p>
    <w:p>
      <w:r>
        <w:rPr>
          <w:b/>
          <w:sz w:val="19"/>
        </w:rPr>
        <w:t xml:space="preserve">Übertragbarkeit: </w:t>
      </w:r>
      <w:r>
        <w:rPr>
          <w:sz w:val="19"/>
        </w:rPr>
        <w:t>Systematische Evidenzsynthese internationale RCTs, Versorgungsrealität Deutschland vergleichbar</w:t>
      </w:r>
    </w:p>
    <w:p>
      <w:r>
        <w:rPr>
          <w:color w:val="5A7D3A"/>
          <w:sz w:val="18"/>
        </w:rPr>
        <w:t>https://pubmed.ncbi.nlm.nih.gov/42713583/</w:t>
      </w:r>
    </w:p>
    <w:p>
      <w:pPr>
        <w:pStyle w:val="Heading2"/>
      </w:pPr>
      <w:r>
        <w:t>Psychosoziale Faktoren beeinflussen Adipositas bei russischen Jugendlichen stärker als früher erwartet</w:t>
      </w:r>
    </w:p>
    <w:p>
      <w:r>
        <w:rPr>
          <w:i/>
          <w:color w:val="666666"/>
          <w:sz w:val="18"/>
        </w:rPr>
        <w:t>Khafizova AA et al.  ·  Am J Hum Biol  ·  Sept. 2026  ·  PMID 42669599</w:t>
      </w:r>
    </w:p>
    <w:p>
      <w:r>
        <w:t>Querschnittstudie russischer Hochschulstudierender (n=1.759, 17–25 Jahre) aus vier Städten zur Rolle von Sozioökonomie, Psyche und Umweltfaktoren auf BMI und zentrale Adipositas (Waist-to-Height-Ratio).</w:t>
      </w:r>
    </w:p>
    <w:p>
      <w:r>
        <w:rPr>
          <w:b/>
        </w:rPr>
        <w:t xml:space="preserve">Ergebnis: </w:t>
      </w:r>
      <w:r>
        <w:t>Angstsymptome waren in Moskau und Petrozavodsk mit Körpergewicht assoziiert; bei Männern aus Krasnodar zeigten sich Assoziationen mit mütterlicher Bildung und Familiengröße. Während makroökonomische Stabilität zunahm, schwächten sich sozioökonomische Effekte auf Anthropometrie ab, während psychosoziale Faktoren an Bedeutung gewannen (p&lt;0,05 für Trait-Angst).</w:t>
      </w:r>
    </w:p>
    <w:p>
      <w:r>
        <w:rPr>
          <w:b/>
          <w:sz w:val="19"/>
        </w:rPr>
        <w:t xml:space="preserve">Übertragbarkeit: </w:t>
      </w:r>
      <w:r>
        <w:rPr>
          <w:sz w:val="19"/>
        </w:rPr>
        <w:t>Russland, andere Sozialversicherung; psychosoziale Determinanten gelten über Systeme hinweg</w:t>
      </w:r>
    </w:p>
    <w:p>
      <w:r>
        <w:rPr>
          <w:color w:val="5A7D3A"/>
          <w:sz w:val="18"/>
        </w:rPr>
        <w:t>https://pubmed.ncbi.nlm.nih.gov/42669599/</w:t>
      </w:r>
    </w:p>
    <w:p>
      <w:pPr>
        <w:pStyle w:val="Heading2"/>
      </w:pPr>
      <w:r>
        <w:t>Sarkopenische Adipositas erhöht Typ-2-Diabetes-Risiko deutlich über Adipositas allein</w:t>
      </w:r>
    </w:p>
    <w:p>
      <w:r>
        <w:rPr>
          <w:i/>
          <w:color w:val="666666"/>
          <w:sz w:val="18"/>
        </w:rPr>
        <w:t>Guan Z et al.  ·  Diabetes Care  ·  01.09.2026  ·  PMID 42439362</w:t>
      </w:r>
    </w:p>
    <w:p>
      <w:r>
        <w:t>UK-Biobank-Kohortenstudie (n=479.607) zur Assoziation von sarkopenischer Adipositas (geringe Muskelkraft + niedriger Muskelmasseanteil + hoher Fettmasseanteil) mit Typ-2-Diabetes über medianen Follow-up von 14,2 Jahren.</w:t>
      </w:r>
    </w:p>
    <w:p>
      <w:r>
        <w:rPr>
          <w:b/>
        </w:rPr>
        <w:t xml:space="preserve">Ergebnis: </w:t>
      </w:r>
      <w:r>
        <w:t>Bei 32.948 Diabetes-Fällen zeigte sarkopenische Adipositas das höchste Risiko (HR 3,54; 95% KI 3,34–3,74), deutlich höher als Adipositas allein oder Sarcopenie allein. Transitionen zu sarkopenischer Adipositas (HR 2,90) und persistierende sarkopenische Adipositas (HR 3,07) erhöhten das Risiko erheblich.</w:t>
      </w:r>
    </w:p>
    <w:p>
      <w:r>
        <w:rPr>
          <w:b/>
          <w:sz w:val="19"/>
        </w:rPr>
        <w:t xml:space="preserve">Übertragbarkeit: </w:t>
      </w:r>
      <w:r>
        <w:rPr>
          <w:sz w:val="19"/>
        </w:rPr>
        <w:t>Britisches Gesundheitssystem, große Routinedatenbank mit Muskelkraftmessung</w:t>
      </w:r>
    </w:p>
    <w:p>
      <w:r>
        <w:rPr>
          <w:color w:val="5A7D3A"/>
          <w:sz w:val="18"/>
        </w:rPr>
        <w:t>https://pubmed.ncbi.nlm.nih.gov/42439362/</w:t>
      </w:r>
    </w:p>
    <w:p>
      <w:pPr>
        <w:pStyle w:val="Heading2"/>
      </w:pPr>
      <w:r>
        <w:t>Frühe Anastomosenlecks nach Adipositaschirurgie kosten pro Fall €40.000–€42.000</w:t>
      </w:r>
    </w:p>
    <w:p>
      <w:r>
        <w:rPr>
          <w:i/>
          <w:color w:val="666666"/>
          <w:sz w:val="18"/>
        </w:rPr>
        <w:t>Balibrea JM et al.  ·  Br J Surg  ·  02.07.2026  ·  PMID 42435065</w:t>
      </w:r>
    </w:p>
    <w:p>
      <w:r>
        <w:t>Spanische Kostenanalyse von Frühkomplikationen (lecks) nach laparoskopischer Sleeve-Gastrektomie (LSG, n=82 Fälle/Jahr) und Roux-en-Y-Bypass (RYGB, n=18 Fälle/Jahr) im nationalen Gesundheitssystem über 1 Jahr (Gesamtbudget €4,2 Mio.).</w:t>
      </w:r>
    </w:p>
    <w:p>
      <w:r>
        <w:rPr>
          <w:b/>
        </w:rPr>
        <w:t xml:space="preserve">Ergebnis: </w:t>
      </w:r>
      <w:r>
        <w:t>Durchschnittliche Kosten pro frühem Leak: LSG €42.285 (Spanne €13.358–€94.532), RYGB €40.971 (€13.110–€94.284). Gesamtbudgetauswirkung für beide Verfahren €4,2 Mio./Jahr, dominiert durch verlängerte Krankenhausaufenthalte und Interventionen. Sensitivitätsanalyse: €1,2–€7,2 Mio.</w:t>
      </w:r>
    </w:p>
    <w:p>
      <w:r>
        <w:rPr>
          <w:b/>
          <w:sz w:val="19"/>
        </w:rPr>
        <w:t xml:space="preserve">Übertragbarkeit: </w:t>
      </w:r>
      <w:r>
        <w:rPr>
          <w:sz w:val="19"/>
        </w:rPr>
        <w:t>Spanischer NHS, vergleichbare Dokumentation und Kostenstrukturen zu Deutschland</w:t>
      </w:r>
    </w:p>
    <w:p>
      <w:r>
        <w:rPr>
          <w:color w:val="5A7D3A"/>
          <w:sz w:val="18"/>
        </w:rPr>
        <w:t>https://pubmed.ncbi.nlm.nih.gov/42435065/</w:t>
      </w:r>
    </w:p>
    <w:p>
      <w:pPr>
        <w:pStyle w:val="Heading2"/>
      </w:pPr>
      <w:r>
        <w:t>Sozioökonomie und Therapieerfolg bei Adipositas im Kindesalter: Deutschland und Schweden</w:t>
      </w:r>
    </w:p>
    <w:p>
      <w:r>
        <w:rPr>
          <w:i/>
          <w:color w:val="666666"/>
          <w:sz w:val="18"/>
        </w:rPr>
        <w:t>Auzanneau M et al.  ·  PLoS Med  ·  09.07.2026  ·  PMID 42424383</w:t>
      </w:r>
    </w:p>
    <w:p>
      <w:r>
        <w:t>Zwei-Länder-Kohortenvergleich (n=31.293 Kinder mit mindestens 6 Monaten Verhaltenstherapie) zum Einfluss des sozioökonomischen Status (SES) auf die Gewichtsabnahme und Therapieabbruch in strukturierten Adipositas-Behandlungsprogrammen.</w:t>
      </w:r>
    </w:p>
    <w:p>
      <w:r>
        <w:rPr>
          <w:b/>
        </w:rPr>
        <w:t xml:space="preserve">Ergebnis: </w:t>
      </w:r>
      <w:r>
        <w:t>In Deutschland zeigte höherer SES bessere BMI-SDS-Reduktion nach 2 Jahren (−0,36 vs. −0,24 für höchste vs. niedrigste Quintile, Differenz −0,12; p&lt;0,001) und niedrigere Abbruchquote (OR 0,82; p&lt;0,001); in Schweden war SES für BMI-Reduktion nicht assoziiert (p=0,143), aber Remissionschancen waren in beiden Ländern mit höherem SES erhöht (Schweden RR 1,63; Deutschland RR 1,35; beide p&lt;0,001). Ungleichheit in Therapieergebnissen ist in Deutschland ausgeprägter.</w:t>
      </w:r>
    </w:p>
    <w:p>
      <w:r>
        <w:rPr>
          <w:b/>
          <w:sz w:val="19"/>
        </w:rPr>
        <w:t xml:space="preserve">Übertragbarkeit: </w:t>
      </w:r>
      <w:r>
        <w:rPr>
          <w:sz w:val="19"/>
        </w:rPr>
        <w:t>Deutschland und Schweden, vergleichbare Versicherungssysteme, strukturierte Adipositas-Programme</w:t>
      </w:r>
    </w:p>
    <w:p>
      <w:r>
        <w:rPr>
          <w:color w:val="5A7D3A"/>
          <w:sz w:val="18"/>
        </w:rPr>
        <w:t>https://pubmed.ncbi.nlm.nih.gov/42424383/</w:t>
      </w:r>
    </w:p>
    <w:p>
      <w:pPr>
        <w:pStyle w:val="Heading1"/>
      </w:pPr>
      <w:r>
        <w:t>Aufgenommen am 09.09.2026</w:t>
      </w:r>
    </w:p>
    <w:p>
      <w:pPr>
        <w:pStyle w:val="Heading2"/>
      </w:pPr>
      <w:r>
        <w:t>Übergewicht bei Kindern in Navarra rückläufig, Adipositas stabil</w:t>
      </w:r>
    </w:p>
    <w:p>
      <w:r>
        <w:rPr>
          <w:i/>
          <w:color w:val="666666"/>
          <w:sz w:val="18"/>
        </w:rPr>
        <w:t>Ciriza Barea E et al.  ·  Rev Esp Salud Publica  ·  04.09.2026  ·  PMID 42708817</w:t>
      </w:r>
    </w:p>
    <w:p>
      <w:r>
        <w:t>Bevölkerungsgestützte Überwachungsstudie zur Prävalenzentwicklung von Übergewicht und Adipositas bei Kindern und Jugendlichen in Nordspanien 2007–2023.</w:t>
      </w:r>
    </w:p>
    <w:p>
      <w:r>
        <w:rPr>
          <w:b/>
        </w:rPr>
        <w:t xml:space="preserve">Ergebnis: </w:t>
      </w:r>
      <w:r>
        <w:t>Übergewicht sank signifikant um über 5 Prozentpunkte in Jungen (21,8 % auf 16,5 % im Alter 6–9 Jahre) und weniger ausgeprägt in Mädchen (23 % auf 18,2 %). Adipositas blieb hingegen stabil bei etwa 10–12 % oder stieg (Mädchen 10–14 Jahre: 6,9 % auf 7,8 %). Die Befunde zeigen Divergenz zwischen Übergewichts- und Adipositas-Trend.</w:t>
      </w:r>
    </w:p>
    <w:p>
      <w:r>
        <w:rPr>
          <w:b/>
          <w:sz w:val="19"/>
        </w:rPr>
        <w:t xml:space="preserve">Übertragbarkeit: </w:t>
      </w:r>
      <w:r>
        <w:rPr>
          <w:sz w:val="19"/>
        </w:rPr>
        <w:t>Spanische Primärversorgungsdaten mit hoher Bevölkerungsabdeckung (93 %), ähnliche Prävention wie Deutschland.</w:t>
      </w:r>
    </w:p>
    <w:p>
      <w:r>
        <w:rPr>
          <w:color w:val="5A7D3A"/>
          <w:sz w:val="18"/>
        </w:rPr>
        <w:t>https://pubmed.ncbi.nlm.nih.gov/42708817/</w:t>
      </w:r>
    </w:p>
    <w:p>
      <w:pPr>
        <w:pStyle w:val="Heading2"/>
      </w:pPr>
      <w:r>
        <w:t>Kinderadipositas und Armut: Jungen und sozial Schwache stärker betroffen</w:t>
      </w:r>
    </w:p>
    <w:p>
      <w:r>
        <w:rPr>
          <w:i/>
          <w:color w:val="666666"/>
          <w:sz w:val="18"/>
        </w:rPr>
        <w:t>Pichiule-Castañeda M et al.  ·  Rev Esp Salud Publica  ·  07.09.2026  ·  PMID 42708243</w:t>
      </w:r>
    </w:p>
    <w:p>
      <w:r>
        <w:t>Longitudinale Kohortenstudie zu sozioökonomischen Determinanten der Adipositas bei 2.124 Kindern in Madrid, Messung alle 3 Jahre von Alter 4–6 bis 14 Jahren (2012–2024).</w:t>
      </w:r>
    </w:p>
    <w:p>
      <w:r>
        <w:rPr>
          <w:b/>
        </w:rPr>
        <w:t xml:space="preserve">Ergebnis: </w:t>
      </w:r>
      <w:r>
        <w:t>Gesamtadipositasprävalenz in mindestens einer Messung 20,1 % (95%-KI 18,4–21,8). Adipositas assoziiert mit männlichem Geschlecht (RPa 1,40; 95%-KI 1,17–1,68) und niedriger Familienwohlfahrt (RPa 1,36; 95%-KI 1,03–1,80). Sozioökonomische Unterschiede bestätigt und persistierend.</w:t>
      </w:r>
    </w:p>
    <w:p>
      <w:r>
        <w:rPr>
          <w:b/>
          <w:sz w:val="19"/>
        </w:rPr>
        <w:t xml:space="preserve">Übertragbarkeit: </w:t>
      </w:r>
      <w:r>
        <w:rPr>
          <w:sz w:val="19"/>
        </w:rPr>
        <w:t>Spanische Longitudinaldaten zur Ungleichheit; ähnliche Sozialsysteme wie Deutschland.</w:t>
      </w:r>
    </w:p>
    <w:p>
      <w:r>
        <w:rPr>
          <w:color w:val="5A7D3A"/>
          <w:sz w:val="18"/>
        </w:rPr>
        <w:t>https://pubmed.ncbi.nlm.nih.gov/42708243/</w:t>
      </w:r>
    </w:p>
    <w:p>
      <w:pPr>
        <w:pStyle w:val="Heading2"/>
      </w:pPr>
      <w:r>
        <w:t>Notfallkomplikationen nach Adipositaschirurgie in Not-Aufnahmezentren häufig und schwer</w:t>
      </w:r>
    </w:p>
    <w:p>
      <w:r>
        <w:rPr>
          <w:i/>
          <w:color w:val="666666"/>
          <w:sz w:val="18"/>
        </w:rPr>
        <w:t>Boșneagu RD et al.  ·  Chirurgia (Bucur)  ·  Juli 2026  ·  PMID 42703978</w:t>
      </w:r>
    </w:p>
    <w:p>
      <w:r>
        <w:t>Retrospektive deskriptive Fallsammlung: 45 Notfall- oder Halbnotfall-Vorstellungen nach Adipositaschirurgie (durchgeführt anderswo) an regionälem Zentrum ohne bariatrische Eigenkompetenz, März 2021–Mai 2025.</w:t>
      </w:r>
    </w:p>
    <w:p>
      <w:r>
        <w:rPr>
          <w:b/>
        </w:rPr>
        <w:t xml:space="preserve">Ergebnis: </w:t>
      </w:r>
      <w:r>
        <w:t>73 % Frauen, Median-BMI 36 kg/m², 84 % Sleeve-Gastrektomie. Spektrum: Gallenblasen-/Pankreas-Erkrankung 27 %, Fistel/Leck 16 %, Stenose 22 %, Obstruktion 16 %. 80 % invasive Behandlung, 20 % Intensivcare, 24 % schwerer Verlauf, 16 % High-Acuity-Definition, 1 Todesfall (2,2 %).</w:t>
      </w:r>
    </w:p>
    <w:p>
      <w:r>
        <w:rPr>
          <w:b/>
          <w:sz w:val="19"/>
        </w:rPr>
        <w:t xml:space="preserve">Übertragbarkeit: </w:t>
      </w:r>
      <w:r>
        <w:rPr>
          <w:sz w:val="19"/>
        </w:rPr>
        <w:t>Rumänische Sekundär-Datensammlung; zeigt Koordinationsmangel ähnlich Deutschland mit dezentralen Kliniken.</w:t>
      </w:r>
    </w:p>
    <w:p>
      <w:r>
        <w:rPr>
          <w:color w:val="5A7D3A"/>
          <w:sz w:val="18"/>
        </w:rPr>
        <w:t>https://pubmed.ncbi.nlm.nih.gov/42703978/</w:t>
      </w:r>
    </w:p>
    <w:p>
      <w:pPr>
        <w:pStyle w:val="Heading2"/>
      </w:pPr>
      <w:r>
        <w:t>Semaglutide reduziert Nierenkomplikationen bei kardio-metabolischer Erkrankung</w:t>
      </w:r>
    </w:p>
    <w:p>
      <w:r>
        <w:rPr>
          <w:i/>
          <w:color w:val="666666"/>
          <w:sz w:val="18"/>
        </w:rPr>
        <w:t>Mann JFE et al.  ·  Lancet Diabetes Endocrinol  ·  07.08.2026  ·  PMID 42567173</w:t>
      </w:r>
    </w:p>
    <w:p>
      <w:r>
        <w:t>Gepoolte Analyse von 3 Phase-3-RCTs (SELECT, FLOW, SOUL) mit N = 30.787 Teilnehmern zu Nieren-Outcomes unter Semaglutide vs. Placebo, Follow-up 39,5–47,5 Monate.</w:t>
      </w:r>
    </w:p>
    <w:p>
      <w:r>
        <w:rPr>
          <w:b/>
        </w:rPr>
        <w:t xml:space="preserve">Ergebnis: </w:t>
      </w:r>
      <w:r>
        <w:t>Semaglutide reduzierte primäre Nierenkompositum (≥50 % eGFR-Fall, Nierenversagen, nierenbezogener Tod oder kardiovaskulärer Tod): 973 vs. 1.134 Ereignisse; HR 0,84 (95%-KI 0,77–0,91). Nebenwirkungen insgesamt ähnlich oder numerisch niedriger mit Semaglutide.</w:t>
      </w:r>
    </w:p>
    <w:p>
      <w:r>
        <w:rPr>
          <w:b/>
          <w:sz w:val="19"/>
        </w:rPr>
        <w:t xml:space="preserve">Übertragbarkeit: </w:t>
      </w:r>
      <w:r>
        <w:rPr>
          <w:sz w:val="19"/>
        </w:rPr>
        <w:t>USA-getriebene Zulassungsstudie, aber Nierenschutz-Befund länderneutral; in Deutschland SGB-V-Ausschluss relevant.</w:t>
      </w:r>
    </w:p>
    <w:p>
      <w:r>
        <w:rPr>
          <w:color w:val="5A7D3A"/>
          <w:sz w:val="18"/>
        </w:rPr>
        <w:t>https://pubmed.ncbi.nlm.nih.gov/42567173/</w:t>
      </w:r>
    </w:p>
    <w:p>
      <w:pPr>
        <w:pStyle w:val="Heading2"/>
      </w:pPr>
      <w:r>
        <w:t>Adipositas-induzierte Indizes vorhersagen Multimorbidität kardio-renal-metabolisch besser als BMI allein</w:t>
      </w:r>
    </w:p>
    <w:p>
      <w:r>
        <w:rPr>
          <w:i/>
          <w:color w:val="666666"/>
          <w:sz w:val="18"/>
        </w:rPr>
        <w:t>Chen Q et al.  ·  Diabetes Res Clin Pract  ·  01.08.2026  ·  PMID 42542252</w:t>
      </w:r>
    </w:p>
    <w:p>
      <w:r>
        <w:t>Retrospektive Kohortenanalysе aus UK Biobank (N = 374.513) und CHARLS (China, N = 6.401) zu C-reaktives-Protein-Triglyzerid-Glukose-Index (CTI) und 5 Adipositas-Derivaten für Vorhersage kardio-renal-metabolischer Multimorbidität.</w:t>
      </w:r>
    </w:p>
    <w:p>
      <w:r>
        <w:rPr>
          <w:b/>
        </w:rPr>
        <w:t xml:space="preserve">Ergebnis: </w:t>
      </w:r>
      <w:r>
        <w:t>Über 15,98 Jahre folgten 13.315 CRMM-Fälle. CTI-WC zeigte stärkste Assoziation (HR 1,974, 95%-KI 1,943–2,007), gefolgt von CTI-WHtR (HR 1,919, 95%-KI 1,890–1,950). NRI 21,16–23,93 %, IDI 1,05–1,51 %, ΔC-Index 0,029–0,038 – Verbesserung der Risikostratifikation über klassische Maße hinaus.</w:t>
      </w:r>
    </w:p>
    <w:p>
      <w:r>
        <w:rPr>
          <w:b/>
          <w:sz w:val="19"/>
        </w:rPr>
        <w:t xml:space="preserve">Übertragbarkeit: </w:t>
      </w:r>
      <w:r>
        <w:rPr>
          <w:sz w:val="19"/>
        </w:rPr>
        <w:t>UK Biobank (hohe Transferenz) mit Validierung in China; Adipositas-Phänotypisierung für deutsche Risikovorhersage relevant.</w:t>
      </w:r>
    </w:p>
    <w:p>
      <w:r>
        <w:rPr>
          <w:color w:val="5A7D3A"/>
          <w:sz w:val="18"/>
        </w:rPr>
        <w:t>https://pubmed.ncbi.nlm.nih.gov/42542252/</w:t>
      </w:r>
    </w:p>
    <w:p>
      <w:pPr>
        <w:pStyle w:val="Heading2"/>
      </w:pPr>
      <w:r>
        <w:t>Beinmuskulatur schützt vor Diabetes, Bauchfett erhöht Risiko – Geschlechtsspezifische Unterschiede</w:t>
      </w:r>
    </w:p>
    <w:p>
      <w:r>
        <w:rPr>
          <w:i/>
          <w:color w:val="666666"/>
          <w:sz w:val="18"/>
        </w:rPr>
        <w:t>Ma Y et al.  ·  Diabetes  ·  01.09.2026  ·  PMID 42467557</w:t>
      </w:r>
    </w:p>
    <w:p>
      <w:r>
        <w:t>Querschnitts- und prospektive Kohortenstudie an 258.500 UK-Biobank-Teilnehmern; Körperkompositions-Muster aus 28 anthropometrischen und bildgebenden Merkmalen mittels Hauptkomponentenanalyse.</w:t>
      </w:r>
    </w:p>
    <w:p>
      <w:r>
        <w:rPr>
          <w:b/>
        </w:rPr>
        <w:t xml:space="preserve">Ergebnis: </w:t>
      </w:r>
      <w:r>
        <w:t>7 interpretierbare Muster identifiziert. Generalisierte Adiposität erhöhte T2D-Risiko (Männer HR 1,73, 95%-KI 1,33–2,24; Frauen HR 2,21, 95%-KI 1,55–3,16). Bein-dominante Magermasse senkte Risiko (Männer HR 0,57, 95%-KI 0,48–0,68; Frauen HR 0,50, 95%-KI 0,40–0,63). Zentrale Magermasse zeigte inverse Assoziation vor allem bei Frauen.</w:t>
      </w:r>
    </w:p>
    <w:p>
      <w:r>
        <w:rPr>
          <w:b/>
          <w:sz w:val="19"/>
        </w:rPr>
        <w:t xml:space="preserve">Übertragbarkeit: </w:t>
      </w:r>
      <w:r>
        <w:rPr>
          <w:sz w:val="19"/>
        </w:rPr>
        <w:t>UK Biobank mit objektivem Imaging; Adipositäts-Phänotypisierung übertragbar auf deutsche Kohorten.</w:t>
      </w:r>
    </w:p>
    <w:p>
      <w:r>
        <w:rPr>
          <w:color w:val="5A7D3A"/>
          <w:sz w:val="18"/>
        </w:rPr>
        <w:t>https://pubmed.ncbi.nlm.nih.gov/42467557/</w:t>
      </w:r>
    </w:p>
    <w:p>
      <w:pPr>
        <w:pStyle w:val="Heading2"/>
      </w:pPr>
      <w:r>
        <w:t>Postbariatrische Impulskontrolle durch tDCS und psychosoziale Nachsorge: Pilot mit moderaten Effekten</w:t>
      </w:r>
    </w:p>
    <w:p>
      <w:r>
        <w:rPr>
          <w:i/>
          <w:color w:val="666666"/>
          <w:sz w:val="18"/>
        </w:rPr>
        <w:t>Rösch SA et al.  ·  Obes Surg  ·  15.07.2026  ·  PMID 42455493</w:t>
      </w:r>
    </w:p>
    <w:p>
      <w:r>
        <w:t>Randomisierte Pilotstudie (n = 19) zu Transkranieller Gleichstrom-Stimulation (tDCS) über rechts-dorsolateralem Präfrontalkortex plus Inhibitionstraining und psychosozialen Gruppen, 4 Wochen und 3 Monate nach Adipositaschirurgie.</w:t>
      </w:r>
    </w:p>
    <w:p>
      <w:r>
        <w:rPr>
          <w:b/>
        </w:rPr>
        <w:t xml:space="preserve">Ergebnis: </w:t>
      </w:r>
      <w:r>
        <w:t>Akzeptanz 67–80 %, Zufriedenheit M &gt; 4,38, Nebenwirkungen minimal (M = 1,46/5). Beide Gruppen zeigten moderate Verbesserungen in Essverhalten und Impulskontrolle, Hungergefühl, Lebensqualität, BMI und endokrinen Markern. Unterschied verum vs. sham unklar.</w:t>
      </w:r>
    </w:p>
    <w:p>
      <w:r>
        <w:rPr>
          <w:b/>
          <w:sz w:val="19"/>
        </w:rPr>
        <w:t xml:space="preserve">Übertragbarkeit: </w:t>
      </w:r>
      <w:r>
        <w:rPr>
          <w:sz w:val="19"/>
        </w:rPr>
        <w:t>Deutsche Zentren beteiligt; Machbarkeitsstudie mit zu kleiner Stichprobe für Effektivitätsschluss.</w:t>
      </w:r>
    </w:p>
    <w:p>
      <w:r>
        <w:rPr>
          <w:color w:val="5A7D3A"/>
          <w:sz w:val="18"/>
        </w:rPr>
        <w:t>https://pubmed.ncbi.nlm.nih.gov/42455493/</w:t>
      </w:r>
    </w:p>
    <w:p>
      <w:pPr>
        <w:pStyle w:val="Heading1"/>
      </w:pPr>
      <w:r>
        <w:t>Aufgenommen am 08.09.2026</w:t>
      </w:r>
    </w:p>
    <w:p>
      <w:pPr>
        <w:pStyle w:val="Heading2"/>
      </w:pPr>
      <w:r>
        <w:t>EASO-Rahmen: Morbidität statt BMI allein sagt Herzinsuffizienzrisiko voraus</w:t>
      </w:r>
    </w:p>
    <w:p>
      <w:r>
        <w:rPr>
          <w:i/>
          <w:color w:val="666666"/>
          <w:sz w:val="18"/>
        </w:rPr>
        <w:t>Tang L et al.  ·  Diabetes Metab Res Rev  ·  Sept. 2026  ·  PMID 42704620</w:t>
      </w:r>
    </w:p>
    <w:p>
      <w:r>
        <w:t>UK-Biobank-Analyse (449.550 Teilnehmende, 15,5 Jahre Follow-up) zur Frage, ob das neue EASO-Adipositas-Framework mit Morbidität bessere Risikostratifizierung für Herzinsuffizienz liefert als BMI allein.</w:t>
      </w:r>
    </w:p>
    <w:p>
      <w:r>
        <w:rPr>
          <w:b/>
        </w:rPr>
        <w:t xml:space="preserve">Ergebnis: </w:t>
      </w:r>
      <w:r>
        <w:t>Das EASO-Framework reclassifizierte 15,6 % der Übergewichtigen als adipös (Prävalenz 24,5 % → 40,1 %). Entscheidend: Übergewicht ohne Morbidität (WHtR &lt;0,5 und keine Begleitererkrankung) zeigte NIEDRIGES Risiko (HR 0,84 [0,80–0,89]), während Morbidität – nicht der BMI-Wert – das Risiko trieb. Übergewicht mit Morbidität: HR 1,32 [1,25–1,39]; BMI ≥30: HR 1,62 [1,53–1,71]. Morbidität erklärte die Risikozunahme über alle Gewichtskategorien hinweg.</w:t>
      </w:r>
    </w:p>
    <w:p>
      <w:r>
        <w:rPr>
          <w:b/>
          <w:sz w:val="19"/>
        </w:rPr>
        <w:t xml:space="preserve">Übertragbarkeit: </w:t>
      </w:r>
      <w:r>
        <w:rPr>
          <w:sz w:val="19"/>
        </w:rPr>
        <w:t>UK Biobank (generalisierbar auf europäische Systeme), Framework betont Funktionsstatus statt Kilogramm.</w:t>
      </w:r>
    </w:p>
    <w:p>
      <w:r>
        <w:rPr>
          <w:color w:val="5A7D3A"/>
          <w:sz w:val="18"/>
        </w:rPr>
        <w:t>https://pubmed.ncbi.nlm.nih.gov/42704620/</w:t>
      </w:r>
    </w:p>
    <w:p>
      <w:pPr>
        <w:pStyle w:val="Heading2"/>
      </w:pPr>
      <w:r>
        <w:t>Inflammations-Metabolismus-Adipositas-Index sagt Herzinsuffizienz stufenweise voraus, Effekt auf Stage 3–4 stärkst</w:t>
      </w:r>
    </w:p>
    <w:p>
      <w:r>
        <w:rPr>
          <w:i/>
          <w:color w:val="666666"/>
          <w:sz w:val="18"/>
        </w:rPr>
        <w:t>Dai F et al.  ·  Cardiovasc Diabetol  ·  26.07.2026  ·  PMID 42693449</w:t>
      </w:r>
    </w:p>
    <w:p>
      <w:r>
        <w:t>English Longitudinal Study of Ageing (1.946 ≥50-Jährige, 12 Jahre Follow-up) zu Frage, ob ein Composite-Index aus CRP, Triglycerid-Glucose-Index und Waist-to-Height-Ratio (CTGW) longitudinal Herzinsuffizienz besser vorhersagt als Einzelmarker.</w:t>
      </w:r>
    </w:p>
    <w:p>
      <w:r>
        <w:rPr>
          <w:b/>
        </w:rPr>
        <w:t xml:space="preserve">Ergebnis: </w:t>
      </w:r>
      <w:r>
        <w:t>113 Herzinsuffizienz-Fälle (5,8 %). Drei Trajektorien: low-stable (n=697), moderate-metabolic (n=943), high-inflammatory (n=306). High-inflammatory: HR 2,69 [1,46–4,93]; moderate-metabolic: HR 1,96 [1,17–3,29]. Kumulative Belastung (höchstes Quartil): HR 2,35 [1,31–4,24]. Nicht-linearer Dosis-Effekt (Schwellenwert ≈8,2). Effekt-Modifikation durch CKM-Stage: Stärkste Assoziation in Stage 3–4 (HR 2,37 [1,24–4,53]). Jede SD-Zunahme: 19 % Risikoanstieg (HR 1,19 [1,04–1,36]).</w:t>
      </w:r>
    </w:p>
    <w:p>
      <w:r>
        <w:rPr>
          <w:b/>
          <w:sz w:val="19"/>
        </w:rPr>
        <w:t xml:space="preserve">Übertragbarkeit: </w:t>
      </w:r>
      <w:r>
        <w:rPr>
          <w:sz w:val="19"/>
        </w:rPr>
        <w:t>Britische Kohortendaten, Messung von Entzündung und Metabolismus über alle Gewichtskategorien hinweg.</w:t>
      </w:r>
    </w:p>
    <w:p>
      <w:r>
        <w:rPr>
          <w:color w:val="5A7D3A"/>
          <w:sz w:val="18"/>
        </w:rPr>
        <w:t>https://pubmed.ncbi.nlm.nih.gov/42693449/</w:t>
      </w:r>
    </w:p>
    <w:p>
      <w:pPr>
        <w:pStyle w:val="Heading2"/>
      </w:pPr>
      <w:r>
        <w:t>Schlafstörungen und Adipositas-Inzidenz bei postmenopausalen Frauen: U-förmig für Dauer, linear für Störung</w:t>
      </w:r>
    </w:p>
    <w:p>
      <w:r>
        <w:rPr>
          <w:i/>
          <w:color w:val="666666"/>
          <w:sz w:val="18"/>
        </w:rPr>
        <w:t>Zhu M et al.  ·  Front Endocrinol (Lausanne)  ·  17.08.2026  ·  PMID 42676488</w:t>
      </w:r>
    </w:p>
    <w:p>
      <w:r>
        <w:t>UK Biobank (68.419 nicht-adipöse postmenopausale Frauen, 13,33 Jahre Follow-up) zur Frage, ob multidimensionale Schlafmuster (Dauer, Insomnie, Chronotyp, Schnarchen, Tagesschläfrigkeit) die Adipositas-Inzidenz vorhersagen.</w:t>
      </w:r>
    </w:p>
    <w:p>
      <w:r>
        <w:rPr>
          <w:b/>
        </w:rPr>
        <w:t xml:space="preserve">Ergebnis: </w:t>
      </w:r>
      <w:r>
        <w:t>1.146 Adipositas-Fälle dokumentiert. Schlafmuster und Inzidenz: Kurz-Schlaf (≤6 h): HR 1,214; Lang-Schlaf (≥10 h): HR 1,654; häufige Insomnie: HR 1,320; Abend-Chronotyp: HR 1,224; Schnarchen: HR 1,234. U-förmige Beziehung der Schlafdauer zur Adipositas. Explorative indirekte Effekte über Inflammation und Lipide waren schwach. Keine signifikante Modifizierung durch Alter, Geschlecht, BMI-Ausgangswert.</w:t>
      </w:r>
    </w:p>
    <w:p>
      <w:r>
        <w:rPr>
          <w:b/>
          <w:sz w:val="19"/>
        </w:rPr>
        <w:t xml:space="preserve">Übertragbarkeit: </w:t>
      </w:r>
      <w:r>
        <w:rPr>
          <w:sz w:val="19"/>
        </w:rPr>
        <w:t>UK Biobank, Verhältnisse auf populationsebene; gezielte Schlaf-Intervention verdient Test.</w:t>
      </w:r>
    </w:p>
    <w:p>
      <w:r>
        <w:rPr>
          <w:color w:val="5A7D3A"/>
          <w:sz w:val="18"/>
        </w:rPr>
        <w:t>https://pubmed.ncbi.nlm.nih.gov/42676488/</w:t>
      </w:r>
    </w:p>
    <w:p>
      <w:pPr>
        <w:pStyle w:val="Heading2"/>
      </w:pPr>
      <w:r>
        <w:t>Neue Adipositas-Definitionen erhöhen Diagnose-Prävalenz, aber nur Lancet-Kriterien sagen Folgeerkrankungen voraus</w:t>
      </w:r>
    </w:p>
    <w:p>
      <w:r>
        <w:rPr>
          <w:i/>
          <w:color w:val="666666"/>
          <w:sz w:val="18"/>
        </w:rPr>
        <w:t>Qiao X et al.  ·  Diabetes Res Clin Pract  ·  25.08.2026  ·  PMID 42641806</w:t>
      </w:r>
    </w:p>
    <w:p>
      <w:r>
        <w:t>UK Biobank (498.353 Teilnehmende) zum Vergleich von BMI-basierten, EASO- und Lancet-Adipositas-Definitionen hinsichtlich Prävalenz und Vorhersagekraft für Typ-2-Diabetes, kardiovaskuläre Ereignisse, Nierenversagen und Mortalität.</w:t>
      </w:r>
    </w:p>
    <w:p>
      <w:r>
        <w:rPr>
          <w:b/>
        </w:rPr>
        <w:t xml:space="preserve">Ergebnis: </w:t>
      </w:r>
      <w:r>
        <w:t>EASO identifizierte 29,6 %, Lancet-Kriterien 63,4 % als adipös (vs. 24,8 % WHO-BMI). Unter Lancet-Kriterien diagnostizierte "klinische Adipositas" zeigte höchstes Risiko: Typ-2-Diabetes HR 12,33 [11,74–12,96], kardiovaskuläre Ereignisse HR 4,02 [3,89–4,16], Nierenversagen HR 7,13 [6,11–8,33], Mortalität HR 3,07 [2,99–3,15]. Übergewicht nach EASO oder Lancet war teilweise protektiv. Ethnische Unterschiede: Asien zeigten höhere Prevalenzen.</w:t>
      </w:r>
    </w:p>
    <w:p>
      <w:r>
        <w:rPr>
          <w:b/>
          <w:sz w:val="19"/>
        </w:rPr>
        <w:t xml:space="preserve">Übertragbarkeit: </w:t>
      </w:r>
      <w:r>
        <w:rPr>
          <w:sz w:val="19"/>
        </w:rPr>
        <w:t>UK Biobank, aber Framework-Wahl bestimmt Risikostratifizierung und Behandlungsindikation unmittelbar.</w:t>
      </w:r>
    </w:p>
    <w:p>
      <w:r>
        <w:rPr>
          <w:color w:val="5A7D3A"/>
          <w:sz w:val="18"/>
        </w:rPr>
        <w:t>https://pubmed.ncbi.nlm.nih.gov/42641806/</w:t>
      </w:r>
    </w:p>
    <w:p>
      <w:pPr>
        <w:pStyle w:val="Heading2"/>
      </w:pPr>
      <w:r>
        <w:t>Ernährungswissen allein reicht nicht: Verhältnisse (Umwelt, Fertigkeiten) bestimmen Essverhalten bei adipösen Jugendlichen</w:t>
      </w:r>
    </w:p>
    <w:p>
      <w:r>
        <w:rPr>
          <w:i/>
          <w:color w:val="666666"/>
          <w:sz w:val="18"/>
        </w:rPr>
        <w:t>Wawrzyniak A et al.  ·  Nutrients  ·  13.07.2026  ·  PMID 42514356</w:t>
      </w:r>
    </w:p>
    <w:p>
      <w:r>
        <w:t>Querschnittstudie an 1.440 polnischen Schülern (10–18 Jahre) zur Frage, wie Ernährungswissen (NRK) und -praxis (NRP) nach BMI-Status differieren und welche Faktoren diese Kluft erklären.</w:t>
      </w:r>
    </w:p>
    <w:p>
      <w:r>
        <w:rPr>
          <w:b/>
        </w:rPr>
        <w:t xml:space="preserve">Ergebnis: </w:t>
      </w:r>
      <w:r>
        <w:t>Adipöse Schüler zeigten signifikant niedriges Wissen (NRK 46 % vs. Normalgewicht 52–53 %, p&lt;0,05) und Praxis (NRP 30 % vs. 33–34 %). Hohes Wissen assoziiert mit: älterem Alter, weiblichem Geschlecht, urbaner Lebensort (bei Übergewicht/Adipositas), höherer mütterlicher Bildung (bei Normal-/Untergewicht). Bessere Praxis assoziiert mit höherem Wissen PLUS höherer körperlicher Aktivität UND ländlicher/kleinstädtischer Umgebung (protektiv für Normalgewicht). Schlussfolgerung: Wissen ist notwendig, aber nicht ausreichend; praktische Fertigkeiten und Umweltfaktoren spielen entscheidende Rolle.</w:t>
      </w:r>
    </w:p>
    <w:p>
      <w:r>
        <w:rPr>
          <w:b/>
          <w:sz w:val="19"/>
        </w:rPr>
        <w:t xml:space="preserve">Übertragbarkeit: </w:t>
      </w:r>
      <w:r>
        <w:rPr>
          <w:sz w:val="19"/>
        </w:rPr>
        <w:t>Polen, aber Befunde auf deutsches Schulsystem übertragbar (Unterschicht-Gradienten, Umwelteinflüsse).</w:t>
      </w:r>
    </w:p>
    <w:p>
      <w:r>
        <w:rPr>
          <w:color w:val="5A7D3A"/>
          <w:sz w:val="18"/>
        </w:rPr>
        <w:t>https://pubmed.ncbi.nlm.nih.gov/42514356/</w:t>
      </w:r>
    </w:p>
    <w:p>
      <w:pPr>
        <w:pStyle w:val="Heading2"/>
      </w:pPr>
      <w:r>
        <w:t>Alltags-Bewegungsmuster mediieren 37–49 % der Adipositas-Mortalitäts-Assoziation; optimale Zusammensetzung für Frauen und Männer unterschiedlich</w:t>
      </w:r>
    </w:p>
    <w:p>
      <w:r>
        <w:rPr>
          <w:i/>
          <w:color w:val="666666"/>
          <w:sz w:val="18"/>
        </w:rPr>
        <w:t>Huang Y et al.  ·  J Sports Sci  ·  21.07.2026  ·  PMID 42482328</w:t>
      </w:r>
    </w:p>
    <w:p>
      <w:r>
        <w:t>UK Biobank (90.289 Teilnehmende, 7-Tage-Wrist-Beschleunigungsmessung) zur Frage, wie 24-Stunden-Bewegungsmuster (leichte Aktivität, moderate-vigorous, Stillzeit, Schlaf) unter dem EASO-Adipositas-Framework die Mortalität mediieren und welche Zeitverteilung optimal ist.</w:t>
      </w:r>
    </w:p>
    <w:p>
      <w:r>
        <w:rPr>
          <w:b/>
        </w:rPr>
        <w:t xml:space="preserve">Ergebnis: </w:t>
      </w:r>
      <w:r>
        <w:t>Kompositionelle Mediation: 37,7–49,0 % der Adipositas-Mortalitäts-Assoziation über Bewegung. MVPA trug am stärksten bei. Geschlechtsspezifische Effekte: Männer 59,2 % mediert (43,0 % via MVPA), Frauen 38,6 % (20,9 % via MVPA). Optimale tägliche Zusammensetzung: Frauen 1 h MVPA + 7 h leichte PA + 7 h Stillzeit + 9 h Schlaf; Männer 1,5 h MVPA + 7 h + 7 h + 8,5 h. Isotemporale Substitution: Ersetzen leichter durch moderate Aktivität senkt Mortalität progressiv.</w:t>
      </w:r>
    </w:p>
    <w:p>
      <w:r>
        <w:rPr>
          <w:b/>
          <w:sz w:val="19"/>
        </w:rPr>
        <w:t xml:space="preserve">Übertragbarkeit: </w:t>
      </w:r>
      <w:r>
        <w:rPr>
          <w:sz w:val="19"/>
        </w:rPr>
        <w:t>UK Biobank, objektivierte Bewegungsdaten; Empfehlungen sind geschlechtsspezifisch und praktisch umsetzbar.</w:t>
      </w:r>
    </w:p>
    <w:p>
      <w:r>
        <w:rPr>
          <w:color w:val="5A7D3A"/>
          <w:sz w:val="18"/>
        </w:rPr>
        <w:t>https://pubmed.ncbi.nlm.nih.gov/42482328/</w:t>
      </w:r>
    </w:p>
    <w:p>
      <w:pPr>
        <w:pStyle w:val="Heading1"/>
      </w:pPr>
      <w:r>
        <w:t>Aufgenommen am 07.09.2026</w:t>
      </w:r>
    </w:p>
    <w:p>
      <w:pPr>
        <w:pStyle w:val="Heading2"/>
      </w:pPr>
      <w:r>
        <w:t>Bariatrische Chirurgie reduziert kardiovaskuläre Ereignisse stärker als GLP-1-Agonisten</w:t>
      </w:r>
    </w:p>
    <w:p>
      <w:r>
        <w:rPr>
          <w:i/>
          <w:color w:val="666666"/>
          <w:sz w:val="18"/>
        </w:rPr>
        <w:t>Shirmohammadi E et al.  ·  Endocrinol Diabetes Metab  ·  Sept. 2026  ·  PMID 42700367</w:t>
      </w:r>
    </w:p>
    <w:p>
      <w:r>
        <w:t>Systematischer Review und Netzwerk-Metaanalyse (43 Studien, 932.380 Patienten): Vergleich von bariatrischer Chirurgie und GLP-1-Rezeptoragonisten für kardiovaskuläre Ergebnisse (MACE, Herzinsuffizienz, Myokardinfarkt) bei Adipositas.</w:t>
      </w:r>
    </w:p>
    <w:p>
      <w:r>
        <w:rPr>
          <w:b/>
        </w:rPr>
        <w:t xml:space="preserve">Ergebnis: </w:t>
      </w:r>
      <w:r>
        <w:t>Bariatrische Chirurgie war mit signifikant größerer Risikoreduktion assoziiert als GLP-1-Agonisten: MACE (BS: HR 0,66 [0,60–0,74] vs. GLP-1: HR 0,85 [0,77–0,94]); Herzinsuffizienz (BS: HR 0,45 [0,38–0,53] vs. GLP-1 nicht signifikant); Myokardinfarkt (BS: HR 0,53 [0,45–0,63] vs. GLP-1 nicht signifikant). Hohe Heterogenität (I²: 66–93%) bestand, aber die Richtung war konsistent. GLP-1-Agonisten bleiben wirksam für Nicht-Chirurgie-Kandidaten, aber BS zeigte überlegene Ergebnisse in allen kardiovaskulären Endpunkten.</w:t>
      </w:r>
    </w:p>
    <w:p>
      <w:r>
        <w:rPr>
          <w:b/>
          <w:sz w:val="19"/>
        </w:rPr>
        <w:t xml:space="preserve">Übertragbarkeit: </w:t>
      </w:r>
      <w:r>
        <w:rPr>
          <w:sz w:val="19"/>
        </w:rPr>
        <w:t>Systemische Übersicht mit globalen Daten; Übertragbarkeit abhängig von Erstattungspolitik (Deutschland: Chirurgie-Einzelfallprüfung, GLP-1 außerhalb SGB V)</w:t>
      </w:r>
    </w:p>
    <w:p>
      <w:r>
        <w:rPr>
          <w:color w:val="5A7D3A"/>
          <w:sz w:val="18"/>
        </w:rPr>
        <w:t>https://pubmed.ncbi.nlm.nih.gov/42700367/</w:t>
      </w:r>
    </w:p>
    <w:p>
      <w:pPr>
        <w:pStyle w:val="Heading2"/>
      </w:pPr>
      <w:r>
        <w:t>Arteriale Steifheit im Kindesalter: Adipositas verschärft die Progression bis ins Jugendalter</w:t>
      </w:r>
    </w:p>
    <w:p>
      <w:r>
        <w:rPr>
          <w:i/>
          <w:color w:val="666666"/>
          <w:sz w:val="18"/>
        </w:rPr>
        <w:t>Ventura D et al.  ·  Int J Cardiol  ·  15.11.2026  ·  PMID 42641818</w:t>
      </w:r>
    </w:p>
    <w:p>
      <w:r>
        <w:t>Längsstudie an 118 Kindern aus Portugal (8–9 und 13–14 Jahre): Karotis-femorale Pulswellengeschwindigkeit stieg von 5,01 auf 6,30 m/s; bei Übergewicht/Adipositas war sie in der Adoleszenz signifikant höher als bei Normalgewicht.</w:t>
      </w:r>
    </w:p>
    <w:p>
      <w:r>
        <w:rPr>
          <w:b/>
        </w:rPr>
        <w:t xml:space="preserve">Ergebnis: </w:t>
      </w:r>
      <w:r>
        <w:t>PWV wuchs mit p&lt;0,001 über die Zeit. Im adjustierten Modell blieben PWV im Alter 8–9 Jahren (β=0,39; p=0,039) und BMI-z-Score im Alter 13–14 (β=0,33; p&lt;0,001) unabhängige Prädiktoren der späteren PWV. Die kardiovaskuläre Verfolgung beginnt in der Kindheit; Gewichtsmanagement in kritischen Entwicklungsphasen könnte die Langzeitgesundheit optimieren.</w:t>
      </w:r>
    </w:p>
    <w:p>
      <w:r>
        <w:rPr>
          <w:b/>
          <w:sz w:val="19"/>
        </w:rPr>
        <w:t xml:space="preserve">Übertragbarkeit: </w:t>
      </w:r>
      <w:r>
        <w:rPr>
          <w:sz w:val="19"/>
        </w:rPr>
        <w:t>Portugal, vergleichbares europäisches Gesundheitssystem</w:t>
      </w:r>
    </w:p>
    <w:p>
      <w:r>
        <w:rPr>
          <w:color w:val="5A7D3A"/>
          <w:sz w:val="18"/>
        </w:rPr>
        <w:t>https://pubmed.ncbi.nlm.nih.gov/42641818/</w:t>
      </w:r>
    </w:p>
    <w:p>
      <w:pPr>
        <w:pStyle w:val="Heading2"/>
      </w:pPr>
      <w:r>
        <w:t>Insulinresistenz, nicht Leberfibrose, bestimmt Insulinclearance bei Adipositas Klasse 3</w:t>
      </w:r>
    </w:p>
    <w:p>
      <w:r>
        <w:rPr>
          <w:i/>
          <w:color w:val="666666"/>
          <w:sz w:val="18"/>
        </w:rPr>
        <w:t>Miya A et al.  ·  Diabetes Res Clin Pract  ·  02.08.2026  ·  PMID 42543084</w:t>
      </w:r>
    </w:p>
    <w:p>
      <w:r>
        <w:t>Querschnittanalyse bei 69 Adipositas-Klasse-3-Patienten (57% Prädiabetes) mit Leberbiopsie zur bariatrischen Chirurgie: Beziehung zwischen Insulinkinetik und Leberpathologie (Steatose, Inflammation, Ballonierung, Fibrose).</w:t>
      </w:r>
    </w:p>
    <w:p>
      <w:r>
        <w:rPr>
          <w:b/>
        </w:rPr>
        <w:t xml:space="preserve">Ergebnis: </w:t>
      </w:r>
      <w:r>
        <w:t>33% ohne MASLD, 23% mit reiner Steatose, 44% mit MASH. Kein hepatisches histologisches Merkmal korrelierte mit Insulinclearance (alle p&gt;0,15). In der multivariablen Regression waren nur HOMA-IR (B=−0,101; p=0,005) und orale Glukose-Insulinsensitivität (B=0,0070; p=0,001) unabhängige Prädiktoren der Insulinclearance – nicht Leberfetthalt, Steatosis-Grad oder Fibrose. Dies widerlegt die Annahme, dass hepatische histologische Schwere die Insulinclearance bei schwerer Adipositas treibt.</w:t>
      </w:r>
    </w:p>
    <w:p>
      <w:r>
        <w:rPr>
          <w:b/>
          <w:sz w:val="19"/>
        </w:rPr>
        <w:t xml:space="preserve">Übertragbarkeit: </w:t>
      </w:r>
      <w:r>
        <w:rPr>
          <w:sz w:val="19"/>
        </w:rPr>
        <w:t>Deutschland (Düsseldorf), direkt übertragbar auf DACH-Versorgung</w:t>
      </w:r>
    </w:p>
    <w:p>
      <w:r>
        <w:rPr>
          <w:color w:val="5A7D3A"/>
          <w:sz w:val="18"/>
        </w:rPr>
        <w:t>https://pubmed.ncbi.nlm.nih.gov/42543084/</w:t>
      </w:r>
    </w:p>
    <w:p>
      <w:pPr>
        <w:pStyle w:val="Heading2"/>
      </w:pPr>
      <w:r>
        <w:t>Adipositas verschärft psoriatische Arthritis und reduziert Biologika-Wirksamkeit</w:t>
      </w:r>
    </w:p>
    <w:p>
      <w:r>
        <w:rPr>
          <w:i/>
          <w:color w:val="666666"/>
          <w:sz w:val="18"/>
        </w:rPr>
        <w:t>Madsen N et al.  ·  RMD Open  ·  15.07.2026  ·  PMID 42457215</w:t>
      </w:r>
    </w:p>
    <w:p>
      <w:r>
        <w:t>Narrative Übersicht (nicht-systematische Suche) über Adipositas als Risikofaktor und Komorbidität bei psoriatischer Arthritis, mit Analyse der Interaktion mit Entzündung, Behandlungsresponse und Lebensqualität.</w:t>
      </w:r>
    </w:p>
    <w:p>
      <w:r>
        <w:rPr>
          <w:b/>
        </w:rPr>
        <w:t xml:space="preserve">Ergebnis: </w:t>
      </w:r>
      <w:r>
        <w:t>Adipositas verstärkt psoriatische Arthritis durch systemische Entzündung, Adipokinregulation und mechanische Gelenkbelastung, führt zu schlechterer Krankheitsaktivität und reduzierter Biologika-Wirksamkeit. Gewichtsverlust verbessert Krankheitsaktivität und therapeutische Effizienz, aber Effekte auf Pathophysiologie sind untererforscht. Klinische Leitlinien empfehlen koordinierte Versorgung (Rheumatologe, Ernährung, Bewegung), aber weitere Forschung zu Gewichtsmanagement-induzierten zytokinen Veränderungen ist erforderlich. Adipositas sollte als Risikofaktor in integrale PsA-Verwaltung anerkannt werden.</w:t>
      </w:r>
    </w:p>
    <w:p>
      <w:r>
        <w:rPr>
          <w:b/>
          <w:sz w:val="19"/>
        </w:rPr>
        <w:t xml:space="preserve">Übertragbarkeit: </w:t>
      </w:r>
      <w:r>
        <w:rPr>
          <w:sz w:val="19"/>
        </w:rPr>
        <w:t>Großbritannien/internationale Evidenz, Qualitätsbewertung und Kohärenz mit deutschem Versorgungsauftrag</w:t>
      </w:r>
    </w:p>
    <w:p>
      <w:r>
        <w:rPr>
          <w:color w:val="5A7D3A"/>
          <w:sz w:val="18"/>
        </w:rPr>
        <w:t>https://pubmed.ncbi.nlm.nih.gov/42457215/</w:t>
      </w:r>
    </w:p>
    <w:p>
      <w:pPr>
        <w:pStyle w:val="Heading2"/>
      </w:pPr>
      <w:r>
        <w:t>Adipositas kostet Estlands Gesundheitssystem 125 Millionen Euro jährlich</w:t>
      </w:r>
    </w:p>
    <w:p>
      <w:r>
        <w:rPr>
          <w:i/>
          <w:color w:val="666666"/>
          <w:sz w:val="18"/>
        </w:rPr>
        <w:t>Saavaste J et al.  ·  Cent Eur J Public Health  ·  Juni 2026  ·  PMID 42444424</w:t>
      </w:r>
    </w:p>
    <w:p>
      <w:r>
        <w:t>Kostenanalyse für Estland 2021 mit Bevölkerungsattribuabilitätsfraktion-Ansatz: Direkte und indirekte Kosten der Adipositas wurden geschätzt unter Berücksichtigung von 29 assoziierten Erkrankungen.</w:t>
      </w:r>
    </w:p>
    <w:p>
      <w:r>
        <w:rPr>
          <w:b/>
        </w:rPr>
        <w:t xml:space="preserve">Ergebnis: </w:t>
      </w:r>
      <w:r>
        <w:t>Direkte Kosten 112,7 Mio. EUR (95% waren Behandlungskosten), indirekte Kosten 12 Mio. EUR. Gesamtkosten 125 Mio. EUR pro Jahr (116 EUR pro Erwachsenem); davon 50,3 Mio. EUR auf Übergewicht, 74,4 Mio. EUR auf Adipositas entfallend. Dies entspricht 6,9% der nationalen Gesundheitsausgaben. Die hohe Krankheitslast unterstreicht Adipositas als erhebliche Belastung für das Gesundheitssystem.</w:t>
      </w:r>
    </w:p>
    <w:p>
      <w:r>
        <w:rPr>
          <w:b/>
          <w:sz w:val="19"/>
        </w:rPr>
        <w:t xml:space="preserve">Übertragbarkeit: </w:t>
      </w:r>
      <w:r>
        <w:rPr>
          <w:sz w:val="19"/>
        </w:rPr>
        <w:t>Estland, EU-vergleichbares Sozialversicherungssystem</w:t>
      </w:r>
    </w:p>
    <w:p>
      <w:r>
        <w:rPr>
          <w:color w:val="5A7D3A"/>
          <w:sz w:val="18"/>
        </w:rPr>
        <w:t>https://pubmed.ncbi.nlm.nih.gov/42444424/</w:t>
      </w:r>
    </w:p>
    <w:p>
      <w:pPr>
        <w:pStyle w:val="Heading2"/>
      </w:pPr>
      <w:r>
        <w:t>Semaglutid-Nutzer in Dänemark: 45% bleiben bei 1 mg, Gewichtsverlust und Begleitmedikationen reduziert</w:t>
      </w:r>
    </w:p>
    <w:p>
      <w:r>
        <w:rPr>
          <w:i/>
          <w:color w:val="666666"/>
          <w:sz w:val="18"/>
        </w:rPr>
        <w:t>Kjærgaard K et al.  ·  Diabetes Obes Metab  ·  13.07.2026  ·  PMID 42443134</w:t>
      </w:r>
    </w:p>
    <w:p>
      <w:r>
        <w:t>Querschnittserhebung in 28 dänischen Apotheken (N=767 Nutzer, 52% Rücklaufquote): Behandlungsmuster und Effekte von Semaglutid zur Gewichtsreduktion, einschließlich Dosierung, Gewichtsverlust nach Behandlungsdauer und Medikamentenreduktion.</w:t>
      </w:r>
    </w:p>
    <w:p>
      <w:r>
        <w:rPr>
          <w:b/>
        </w:rPr>
        <w:t xml:space="preserve">Ergebnis: </w:t>
      </w:r>
      <w:r>
        <w:t>45% der Nutzer blieben auf 1 mg, nur 8% erwarteten 2,4 mg zu erreichen. Gewichtsverlust variierte nach Dauer: 1–3 Monate 6% (IQR 3–7), &gt;1 Jahr 20% (IQR 15–26). 24% berichteten Reduktion/Absetzen von Begleitmedikamenten (30% bei Muskel-/Gelenkschmerzen, 24% bei Antihypertonika). Von 42 Erstnutzern waren 83% nach 6 Monaten noch in Therapie. Diese Daten zeigen individuelle Dosierungsanforderungen und real-world-Nutzungsmuster jenseits von Zulassungsstudien.</w:t>
      </w:r>
    </w:p>
    <w:p>
      <w:r>
        <w:rPr>
          <w:b/>
          <w:sz w:val="19"/>
        </w:rPr>
        <w:t xml:space="preserve">Übertragbarkeit: </w:t>
      </w:r>
      <w:r>
        <w:rPr>
          <w:sz w:val="19"/>
        </w:rPr>
        <w:t>Dänemark, vergleichbares skandinavisches Gesundheitssystem</w:t>
      </w:r>
    </w:p>
    <w:p>
      <w:r>
        <w:rPr>
          <w:color w:val="5A7D3A"/>
          <w:sz w:val="18"/>
        </w:rPr>
        <w:t>https://pubmed.ncbi.nlm.nih.gov/42443134/</w:t>
      </w:r>
    </w:p>
    <w:p>
      <w:pPr>
        <w:pStyle w:val="Heading1"/>
      </w:pPr>
      <w:r>
        <w:t>Aufgenommen am 06.09.2026</w:t>
      </w:r>
    </w:p>
    <w:p>
      <w:pPr>
        <w:pStyle w:val="Heading2"/>
      </w:pPr>
      <w:r>
        <w:t>Naturkontakt und Übergewicht bei Kindern: GRACE-Studie in Spanien und 5 Ländern</w:t>
      </w:r>
    </w:p>
    <w:p>
      <w:r>
        <w:rPr>
          <w:i/>
          <w:color w:val="666666"/>
          <w:sz w:val="18"/>
        </w:rPr>
        <w:t>Ciriza-Barea E et al.  ·  Rev Esp Salud Publica  ·  03.09.2026  ·  PMID 42690077</w:t>
      </w:r>
    </w:p>
    <w:p>
      <w:r>
        <w:t>GRACE-Studienprotokoll, prospektive Querschnittsuntersuchung über Geschlechtsdifferenzen in der Körperbildwahrnehmung bei krebs-induziertem Gewichtsverlust, später auch prospektive Prüfung: Naturkontakt bei Kindern (7–14 J.) und Adipositas-Assoziationen in Spanien und 5 weiteren Ländern.</w:t>
      </w:r>
    </w:p>
    <w:p>
      <w:r>
        <w:rPr>
          <w:b/>
        </w:rPr>
        <w:t xml:space="preserve">Ergebnis: </w:t>
      </w:r>
      <w:r>
        <w:t>Studienprotokoll für 600 Kinder (50 % Mädchen) über 12 Monate; primärer Endpunkt ist Unterschied in Körperbildskala-Scores zwischen Geschlechtern (3 Punkte als klinisch relevant). Dabei Erfassung von physischer Aktivität, Bildschirmzeit, psychischen und schulischen Faktoren.</w:t>
      </w:r>
    </w:p>
    <w:p>
      <w:r>
        <w:rPr>
          <w:b/>
          <w:sz w:val="19"/>
        </w:rPr>
        <w:t xml:space="preserve">Übertragbarkeit: </w:t>
      </w:r>
      <w:r>
        <w:rPr>
          <w:sz w:val="19"/>
        </w:rPr>
        <w:t>Spanien und multinationale Kohörte, primärmedizinische Versorgung, Prävention im schulischen Kontext.</w:t>
      </w:r>
    </w:p>
    <w:p>
      <w:r>
        <w:rPr>
          <w:color w:val="5A7D3A"/>
          <w:sz w:val="18"/>
        </w:rPr>
        <w:t>https://pubmed.ncbi.nlm.nih.gov/42690077/</w:t>
      </w:r>
    </w:p>
    <w:p>
      <w:pPr>
        <w:pStyle w:val="Heading2"/>
      </w:pPr>
      <w:r>
        <w:t>EASE-CF-Studie: Gewichtsabnahme-Intervention für zystische Fibrose-Patienten, Machbarkeitsprüfung</w:t>
      </w:r>
    </w:p>
    <w:p>
      <w:r>
        <w:rPr>
          <w:i/>
          <w:color w:val="666666"/>
          <w:sz w:val="18"/>
        </w:rPr>
        <w:t>Snowball J et al.  ·  BMJ Open Respir Res  ·  27.07.2026  ·  PMID 42508970</w:t>
      </w:r>
    </w:p>
    <w:p>
      <w:r>
        <w:t>Machbarkeitsprüfung einer dietitian-geführten Gewichtsabnahme-Intervention bei 30 CF-Patienten mit BMI ≥27 kg/m² über 24 Wochen in Großbritannien, eingebettet in qualitatives Design.</w:t>
      </w:r>
    </w:p>
    <w:p>
      <w:r>
        <w:rPr>
          <w:b/>
        </w:rPr>
        <w:t xml:space="preserve">Ergebnis: </w:t>
      </w:r>
      <w:r>
        <w:t>Dies ist ein Studienprotokoll; primärer Endpunkt ist Machbarkeit nach vordefinierten Kriterien (Rekrutierung, Adhärenz, Retention, Sicherheit). Die Studie soll testen, ob Gewichtsabnahme bei CF-Patienten ohne Lungenfunktionsverschlechterung möglich ist und sicher durchzuführen ist.</w:t>
      </w:r>
    </w:p>
    <w:p>
      <w:r>
        <w:rPr>
          <w:b/>
          <w:sz w:val="19"/>
        </w:rPr>
        <w:t xml:space="preserve">Übertragbarkeit: </w:t>
      </w:r>
      <w:r>
        <w:rPr>
          <w:sz w:val="19"/>
        </w:rPr>
        <w:t>Großbritannien, britisches NHS, strukturierte Versorgung, nationale Ethikgenehmigung.</w:t>
      </w:r>
    </w:p>
    <w:p>
      <w:r>
        <w:rPr>
          <w:color w:val="5A7D3A"/>
          <w:sz w:val="18"/>
        </w:rPr>
        <w:t>https://pubmed.ncbi.nlm.nih.gov/42508970/</w:t>
      </w:r>
    </w:p>
    <w:p>
      <w:pPr>
        <w:pStyle w:val="Heading2"/>
      </w:pPr>
      <w:r>
        <w:t>Exklusiver Olivenölkonsum senkt Typ-2-Diabetes-Risiko auch bei Übergewicht, 20-Jahres-Daten</w:t>
      </w:r>
    </w:p>
    <w:p>
      <w:r>
        <w:rPr>
          <w:i/>
          <w:color w:val="666666"/>
          <w:sz w:val="18"/>
        </w:rPr>
        <w:t>Kechagia I et al.  ·  Int J Food Sci Nutr  ·  25.07.2026  ·  PMID 42499318</w:t>
      </w:r>
    </w:p>
    <w:p>
      <w:r>
        <w:t>Die ATTICA-Kohortenstudie untersuchte über 20 Jahre, ob ausschließlicher Olivenölkonsum das Risiko für Typ-2-Diabetes bei 2000 Erwachsenen senkt.</w:t>
      </w:r>
    </w:p>
    <w:p>
      <w:r>
        <w:rPr>
          <w:b/>
        </w:rPr>
        <w:t xml:space="preserve">Ergebnis: </w:t>
      </w:r>
      <w:r>
        <w:t>Exklusiver Olivenölkonsum war mit niedrigerem Typ-2-Diabetes-Risiko verbunden (OR 0,51, 95%-KI 0,33–0,80). Die Assoziation war stärker bei übergewichtigen (OR 0,45) und adipösen Personen (OR 0,23). Die Ergebnisse sprechen für Olivenöl als nachhaltige Ernährungsstrategie, besonders bei metabolisch vulnerablen Gruppen.</w:t>
      </w:r>
    </w:p>
    <w:p>
      <w:r>
        <w:rPr>
          <w:b/>
          <w:sz w:val="19"/>
        </w:rPr>
        <w:t xml:space="preserve">Übertragbarkeit: </w:t>
      </w:r>
      <w:r>
        <w:rPr>
          <w:sz w:val="19"/>
        </w:rPr>
        <w:t>Südeuropa, vergleichbare Präventionspolitik und Ernährungsmuster.</w:t>
      </w:r>
    </w:p>
    <w:p>
      <w:r>
        <w:rPr>
          <w:color w:val="5A7D3A"/>
          <w:sz w:val="18"/>
        </w:rPr>
        <w:t>https://pubmed.ncbi.nlm.nih.gov/42499318/</w:t>
      </w:r>
    </w:p>
    <w:p>
      <w:pPr>
        <w:pStyle w:val="Heading2"/>
      </w:pPr>
      <w:r>
        <w:t>Adipositas-Indizes prognostizieren 20-Jahres-Typ-2-Diabetes-Risiko unterschiedlich gut</w:t>
      </w:r>
    </w:p>
    <w:p>
      <w:r>
        <w:rPr>
          <w:i/>
          <w:color w:val="666666"/>
          <w:sz w:val="18"/>
        </w:rPr>
        <w:t>Kechagia I et al.  ·  Clin Obes  ·  Aug. 2026  ·  PMID 42495893</w:t>
      </w:r>
    </w:p>
    <w:p>
      <w:r>
        <w:t>ATTICA-Kohortenstudie von 2000 Personen über 20 Jahre evaluierte, welche Adipositas-Indikatoren (BMI, WHtR, Lipid-Akkumulation) das Typ-2-Diabetes-Risiko am besten vorhersagen.</w:t>
      </w:r>
    </w:p>
    <w:p>
      <w:r>
        <w:rPr>
          <w:b/>
        </w:rPr>
        <w:t xml:space="preserve">Ergebnis: </w:t>
      </w:r>
      <w:r>
        <w:t>Alle Indizes waren unabhängig mit Typ-2-Diabetes-Inzidenz (26,3 %) assoziiert; Diskriminativität lag bei C-Index 0,70–0,80 für zentrale und für Dysfunktions-Indizes. Keine großen Unterschiede zwischen Maßen, aber konsistente moderate Vorhersagekraft über 20 Jahre.</w:t>
      </w:r>
    </w:p>
    <w:p>
      <w:r>
        <w:rPr>
          <w:b/>
          <w:sz w:val="19"/>
        </w:rPr>
        <w:t xml:space="preserve">Übertragbarkeit: </w:t>
      </w:r>
      <w:r>
        <w:rPr>
          <w:sz w:val="19"/>
        </w:rPr>
        <w:t>Südeuropa, prospektive Populationsdaten, Rolle von Risikistratifizierung.</w:t>
      </w:r>
    </w:p>
    <w:p>
      <w:r>
        <w:rPr>
          <w:color w:val="5A7D3A"/>
          <w:sz w:val="18"/>
        </w:rPr>
        <w:t>https://pubmed.ncbi.nlm.nih.gov/42495893/</w:t>
      </w:r>
    </w:p>
    <w:p>
      <w:pPr>
        <w:pStyle w:val="Heading2"/>
      </w:pPr>
      <w:r>
        <w:t>Metabolisches Syndrom und COPD bei Adipositaschirurgie assoziiert mit höherem Gewichtsverlust</w:t>
      </w:r>
    </w:p>
    <w:p>
      <w:r>
        <w:rPr>
          <w:i/>
          <w:color w:val="666666"/>
          <w:sz w:val="18"/>
        </w:rPr>
        <w:t>Stepaniak U et al.  ·  J Obes  ·  2026  ·  PMID 42470258</w:t>
      </w:r>
    </w:p>
    <w:p>
      <w:r>
        <w:t>Retrospektive Analyse von 601 Patienten mit schwerer Adipositas vor und 1 Jahr nach bariatrischer Operation in Polen zur Frage, welche Komorbiditäten den Gewichtsverlust beeinflussen.</w:t>
      </w:r>
    </w:p>
    <w:p>
      <w:r>
        <w:rPr>
          <w:b/>
        </w:rPr>
        <w:t xml:space="preserve">Ergebnis: </w:t>
      </w:r>
      <w:r>
        <w:t>Hypertonie war mit 71,2 % am häufigsten. Patienten mit metabolischem Syndrom oder COPD zeigten signifikant höheren Gewichtsverlust (2,4 bzw. 6,5 % mehr; p&lt;0,05 nach Adjustierung). Osteoarthritis und GERD waren mit geringerem Erfolg assoziiert.</w:t>
      </w:r>
    </w:p>
    <w:p>
      <w:r>
        <w:rPr>
          <w:b/>
          <w:sz w:val="19"/>
        </w:rPr>
        <w:t xml:space="preserve">Übertragbarkeit: </w:t>
      </w:r>
      <w:r>
        <w:rPr>
          <w:sz w:val="19"/>
        </w:rPr>
        <w:t>Polen, europäische Adipositaschirurgie-Versorgung, vergleichbares System.</w:t>
      </w:r>
    </w:p>
    <w:p>
      <w:r>
        <w:rPr>
          <w:color w:val="5A7D3A"/>
          <w:sz w:val="18"/>
        </w:rPr>
        <w:t>https://pubmed.ncbi.nlm.nih.gov/42470258/</w:t>
      </w:r>
    </w:p>
    <w:p>
      <w:pPr>
        <w:pStyle w:val="Heading2"/>
      </w:pPr>
      <w:r>
        <w:t>GLP-1-Rezeptoragonisten assoziiert mit niedrigeren Raten für Alkohol- und Substanzgebrauchsstörungen</w:t>
      </w:r>
    </w:p>
    <w:p>
      <w:r>
        <w:rPr>
          <w:i/>
          <w:color w:val="666666"/>
          <w:sz w:val="18"/>
        </w:rPr>
        <w:t>Bach P et al.  ·  Lancet Psychiatry  ·  Aug. 2026  ·  PMID 42456704</w:t>
      </w:r>
    </w:p>
    <w:p>
      <w:r>
        <w:t>Schwedische Registeranalyse von 167.026 Typ-2-Diabetes-Patienten, die GLP-1-Rezeptoragonisten erhielten oder nicht, zur Assoziation mit Krankenhausaufnahmen wegen Alkohol- oder Substanzgebrauchsstörungen.</w:t>
      </w:r>
    </w:p>
    <w:p>
      <w:r>
        <w:rPr>
          <w:b/>
        </w:rPr>
        <w:t xml:space="preserve">Ergebnis: </w:t>
      </w:r>
      <w:r>
        <w:t>GLP-1-Exposition war mit niedrigeren Raten für Alkoholgebrauchsstörung (RR 0,55, 95%-KI 0,43–0,70) und Substanzgebrauchsstörung (RR 0,61, 95%-KI 0,50–0,74) assoziiert. Der Effekt blieb in den ersten 182 Tagen nach Absetzen für Alkoholstörung erhalten (RR 0,70), nicht aber danach oder für Substanzgebrauch.</w:t>
      </w:r>
    </w:p>
    <w:p>
      <w:r>
        <w:rPr>
          <w:b/>
          <w:sz w:val="19"/>
        </w:rPr>
        <w:t xml:space="preserve">Übertragbarkeit: </w:t>
      </w:r>
      <w:r>
        <w:rPr>
          <w:sz w:val="19"/>
        </w:rPr>
        <w:t>Schweden, universelles Gesundheitssystem, Registerqualität, hohe Variabilität bei Präparaten.</w:t>
      </w:r>
    </w:p>
    <w:p>
      <w:r>
        <w:rPr>
          <w:color w:val="5A7D3A"/>
          <w:sz w:val="18"/>
        </w:rPr>
        <w:t>https://pubmed.ncbi.nlm.nih.gov/42456704/</w:t>
      </w:r>
    </w:p>
    <w:p>
      <w:pPr>
        <w:pStyle w:val="Heading2"/>
      </w:pPr>
      <w:r>
        <w:t>Sarkopenie-Risiko bei hocheffektiver Adipositasbehandlung: individualisierte Gewichtsverlust-Ziele nötig</w:t>
      </w:r>
    </w:p>
    <w:p>
      <w:r>
        <w:rPr>
          <w:i/>
          <w:color w:val="666666"/>
          <w:sz w:val="18"/>
        </w:rPr>
        <w:t>Bosy-Westphal A et al.  ·  J Cachexia Sarcopenia Muscle  ·  Aug. 2026  ·  PMID 42455525</w:t>
      </w:r>
    </w:p>
    <w:p>
      <w:r>
        <w:t>Narrative Übersichtsarbeit, die physiologische Prinzipien und Daten aus klinischen Studien zu hocheffektiven Adipositas-Medikamenten (GLP-1, Inkretin) integriert, um Kriterien für sichere Gewichtsverlust-Ziele zu definieren.</w:t>
      </w:r>
    </w:p>
    <w:p>
      <w:r>
        <w:rPr>
          <w:b/>
        </w:rPr>
        <w:t xml:space="preserve">Ergebnis: </w:t>
      </w:r>
      <w:r>
        <w:t>Bei großen Energiedefiziten ging 33–38 % des Gewichtsverlusts auf Magermasse (v. a. Skelettmuskel), nicht Fett zurück. SMI-basierte Schwellenwerte (SMI-SDS ≤ −0,67) können klinisch relevante Muskelerschöpfung identifizieren. Interventionen mit strukturiertem Sport zeigten günstigere Fett-Magergewicht-Partitionierung als ohne.</w:t>
      </w:r>
    </w:p>
    <w:p>
      <w:r>
        <w:rPr>
          <w:b/>
          <w:sz w:val="19"/>
        </w:rPr>
        <w:t xml:space="preserve">Übertragbarkeit: </w:t>
      </w:r>
      <w:r>
        <w:rPr>
          <w:sz w:val="19"/>
        </w:rPr>
        <w:t>Deutsche und europäische Kliniken, universelle Prinzipien der Muskelerhaltung, anwendbar auf alle Behandlungsarten.</w:t>
      </w:r>
    </w:p>
    <w:p>
      <w:r>
        <w:rPr>
          <w:color w:val="5A7D3A"/>
          <w:sz w:val="18"/>
        </w:rPr>
        <w:t>https://pubmed.ncbi.nlm.nih.gov/42455525/</w:t>
      </w:r>
    </w:p>
    <w:p>
      <w:pPr>
        <w:pStyle w:val="Heading1"/>
      </w:pPr>
      <w:r>
        <w:t>Aufgenommen am 05.09.2026</w:t>
      </w:r>
    </w:p>
    <w:p>
      <w:pPr>
        <w:pStyle w:val="Heading2"/>
      </w:pPr>
      <w:r>
        <w:t>Lange Wartezeiten auf Adipositaschirurgie verschärfen Stoffwechselkomplikationen um 1,92 Jahre pro Komorbidität</w:t>
      </w:r>
    </w:p>
    <w:p>
      <w:r>
        <w:rPr>
          <w:i/>
          <w:color w:val="666666"/>
          <w:sz w:val="18"/>
        </w:rPr>
        <w:t>Barros F et al.  ·  Arq Bras Cir Dig  ·  31.08.2026  ·  PMID 42690302</w:t>
      </w:r>
    </w:p>
    <w:p>
      <w:r>
        <w:t>Retrospektive Kohortenstudie von 1.000 Adipositas-Patienten im brasilianischen öffentlichen Gesundheitssystem; Analyse der Beziehung zwischen Wartezeit und Anzahl der Komorbiditäten.</w:t>
      </w:r>
    </w:p>
    <w:p>
      <w:r>
        <w:rPr>
          <w:b/>
        </w:rPr>
        <w:t xml:space="preserve">Ergebnis: </w:t>
      </w:r>
      <w:r>
        <w:t>Signifikante Korrelation: Wartezeit mit Komorbiditäten R²=0,686 (p&lt;0,001); 60% der Wartezeit-Variabilität durch Komorbiditäten erklärt (R²=0,600). Durchschnittlich +1,92 Jahre Wartezeit pro zusätzliche Komorbidität (95% KI 1,82–2,02). Patienten &gt;10 Jahre auf der Liste zeigten höhere HbA1c-, LDL- und Gesamtcholesterinwerte.</w:t>
      </w:r>
    </w:p>
    <w:p>
      <w:r>
        <w:rPr>
          <w:b/>
          <w:sz w:val="19"/>
        </w:rPr>
        <w:t xml:space="preserve">Übertragbarkeit: </w:t>
      </w:r>
      <w:r>
        <w:rPr>
          <w:sz w:val="19"/>
        </w:rPr>
        <w:t>Brasilien mit längeren Wartelisten; zeigt Versorgungszugang-Problem, das auch deutsche Kostenträger kennen</w:t>
      </w:r>
    </w:p>
    <w:p>
      <w:r>
        <w:rPr>
          <w:color w:val="5A7D3A"/>
          <w:sz w:val="18"/>
        </w:rPr>
        <w:t>https://pubmed.ncbi.nlm.nih.gov/42690302/</w:t>
      </w:r>
    </w:p>
    <w:p>
      <w:pPr>
        <w:pStyle w:val="Heading2"/>
      </w:pPr>
      <w:r>
        <w:t>Langfristige Bewegung senkt Adipositas-Risiko um ein Drittel bei Frauen mittleren Alters – aber höhere Ziele zeigen keinen Zusatznutzen</w:t>
      </w:r>
    </w:p>
    <w:p>
      <w:r>
        <w:rPr>
          <w:i/>
          <w:color w:val="666666"/>
          <w:sz w:val="18"/>
        </w:rPr>
        <w:t>Tarp J et al.  ·  Int J Epidemiol  ·  18.08.2026  ·  PMID 42689630</w:t>
      </w:r>
    </w:p>
    <w:p>
      <w:r>
        <w:t>Target-Trial-Emulation mit 10 Wellen Beobachtungsdaten (1996–2022) von 779 australischen Frauen aus der Longitudinal Study on Women's Health; Effekt von 18-jähriger Adhärenz zur WHO-Bewegungsempfehlung (≥150 min/Woche) auf Adipositas-Inzidenz.</w:t>
      </w:r>
    </w:p>
    <w:p>
      <w:r>
        <w:rPr>
          <w:b/>
        </w:rPr>
        <w:t xml:space="preserve">Ergebnis: </w:t>
      </w:r>
      <w:r>
        <w:t>Kumulative Adipositas-Inzidenz nach 21 Jahren: 9,9% (99,5% KI 8,6–11,1%) mit 18-jähriger Adhärenz vs. 15,1% (12,8–17,4%) ohne Adhärenz. Risikoquote 1,5 (99,5% KI 1,2–1,9); Risikodifferenz 5,3%-Punkte (2,3–8,3%). Jede weitere Erhebung mit Nicht-Adhärenz: RR 1,1. Kein zusätzlicher Nutzen höherer Ziele.</w:t>
      </w:r>
    </w:p>
    <w:p>
      <w:r>
        <w:rPr>
          <w:b/>
          <w:sz w:val="19"/>
        </w:rPr>
        <w:t xml:space="preserve">Übertragbarkeit: </w:t>
      </w:r>
      <w:r>
        <w:rPr>
          <w:sz w:val="19"/>
        </w:rPr>
        <w:t>Australien; langjährige Kohorte mit Zielprotokollemulation; Bewegungsforschung übertragbar auf Deutschland</w:t>
      </w:r>
    </w:p>
    <w:p>
      <w:r>
        <w:rPr>
          <w:color w:val="5A7D3A"/>
          <w:sz w:val="18"/>
        </w:rPr>
        <w:t>https://pubmed.ncbi.nlm.nih.gov/42689630/</w:t>
      </w:r>
    </w:p>
    <w:p>
      <w:pPr>
        <w:pStyle w:val="Heading2"/>
      </w:pPr>
      <w:r>
        <w:t>Rumänische Jugendliche: Diätische Einschränkung verdoppelt sich mit BMI, Schuldgefühle und emotionales Essen steigen – Hinweise auf gestörtes Essverhalten</w:t>
      </w:r>
    </w:p>
    <w:p>
      <w:r>
        <w:rPr>
          <w:i/>
          <w:color w:val="666666"/>
          <w:sz w:val="18"/>
        </w:rPr>
        <w:t>Mischie A et al.  ·  Nutrients  ·  16.08.2026  ·  PMID 42654257</w:t>
      </w:r>
    </w:p>
    <w:p>
      <w:r>
        <w:t>Cross-sectionale Online-Befragung von 753 rumänischen Erwachsenen (18–30 Jahre, 93,5% weiblich) zu Ernährungsmuster, Gewichtskontrollpraktiken und disordered eating über BMI-Kategorien.</w:t>
      </w:r>
    </w:p>
    <w:p>
      <w:r>
        <w:rPr>
          <w:b/>
        </w:rPr>
        <w:t xml:space="preserve">Ergebnis: </w:t>
      </w:r>
      <w:r>
        <w:t>59,1% Normalgewicht, 29,3% Übergewicht/Adipositas, 11,6% Untergewicht. Diätische Einschränkung (57,4%), körperliche Aktivität (46,7%), aber auch self-induced vomiting (6,4%). Lebenslang Binge Eating 50,1%, aktuell stressabhängiges Essen 49,1%, Schuldgefühle nach dem Essen 66,1%. Bei Übergewicht/Adipositas vs. Normalgewicht: aOR Einschränkung 2,34 (p&lt;0,001), emotionales Essen aOR 2,49, Schuld aOR 2,73 – monotonischer Gradient.</w:t>
      </w:r>
    </w:p>
    <w:p>
      <w:r>
        <w:rPr>
          <w:b/>
          <w:sz w:val="19"/>
        </w:rPr>
        <w:t xml:space="preserve">Übertragbarkeit: </w:t>
      </w:r>
      <w:r>
        <w:rPr>
          <w:sz w:val="19"/>
        </w:rPr>
        <w:t>Rumänien, Zentral-/Osteuropa; Online-Sample, überwiegend weiblich, urban – Generalisierbarkeit begrenzt</w:t>
      </w:r>
    </w:p>
    <w:p>
      <w:r>
        <w:rPr>
          <w:color w:val="5A7D3A"/>
          <w:sz w:val="18"/>
        </w:rPr>
        <w:t>https://pubmed.ncbi.nlm.nih.gov/42654257/</w:t>
      </w:r>
    </w:p>
    <w:p>
      <w:pPr>
        <w:pStyle w:val="Heading2"/>
      </w:pPr>
      <w:r>
        <w:t>Tirzepatide im UK-Digital-Health-Setting: 13,5% Gewichtsverlust in 6 Monaten, höhere Persistenz bei weniger deprivierten Patienten</w:t>
      </w:r>
    </w:p>
    <w:p>
      <w:r>
        <w:rPr>
          <w:i/>
          <w:color w:val="666666"/>
          <w:sz w:val="18"/>
        </w:rPr>
        <w:t>Rosenior-Patten O et al.  ·  Diabetes Obes Metab  ·  06.08.2026  ·  PMID 42560020</w:t>
      </w:r>
    </w:p>
    <w:p>
      <w:r>
        <w:t>Retrospektive Kohortenstudie von 630.545 Adipositas-Patienten in UK-Telemedizin-Praxis, die Tirzepatid initiierten; Messungen von Gewichtsveränderung und Therapietreue nach Deprivationsgrad.</w:t>
      </w:r>
    </w:p>
    <w:p>
      <w:r>
        <w:rPr>
          <w:b/>
        </w:rPr>
        <w:t xml:space="preserve">Ergebnis: </w:t>
      </w:r>
      <w:r>
        <w:t>Mittlerer Gewichtsverlust -13,5% (95% KI: -13,56 bis -13,51) nach 6 Monaten (n=270.309); 89,9% erreichten ≥5% Gewichtsverlust, 72,1% ≥10%. Patienten aus weniger deprivierten Gebieten zeigten 26,1% mehr Verordnungen; 46,7% berichteten Mobilitätsverbesserung, 45,9% Stimmungsverbesserung.</w:t>
      </w:r>
    </w:p>
    <w:p>
      <w:r>
        <w:rPr>
          <w:b/>
          <w:sz w:val="19"/>
        </w:rPr>
        <w:t xml:space="preserve">Übertragbarkeit: </w:t>
      </w:r>
      <w:r>
        <w:rPr>
          <w:sz w:val="19"/>
        </w:rPr>
        <w:t>UK-Telemedizin-System; Kostenerlass durch NHS nicht vergleichbar mit deutschem §34 SGB V-Ausschluss</w:t>
      </w:r>
    </w:p>
    <w:p>
      <w:r>
        <w:rPr>
          <w:color w:val="5A7D3A"/>
          <w:sz w:val="18"/>
        </w:rPr>
        <w:t>https://pubmed.ncbi.nlm.nih.gov/42560020/</w:t>
      </w:r>
    </w:p>
    <w:p>
      <w:pPr>
        <w:pStyle w:val="Heading2"/>
      </w:pPr>
      <w:r>
        <w:t>Leberfibrosis-Score bei Kindern mit Adipositas zeigt 3-fach erhöhtes Typ-2-Diabetes-Risiko in 9–19 Jahren</w:t>
      </w:r>
    </w:p>
    <w:p>
      <w:r>
        <w:rPr>
          <w:i/>
          <w:color w:val="666666"/>
          <w:sz w:val="18"/>
        </w:rPr>
        <w:t>Lefere S et al.  ·  Diabetologia  ·  22.07.2026  ·  PMID 42486926</w:t>
      </w:r>
    </w:p>
    <w:p>
      <w:r>
        <w:t>Kohortenstudie mit 4.856 Kindern mit Adipositas (Alter 12 Jahre) aus dem Schwedischen Childhood Obesity Treatment Register (2005–2020), verknüpft mit nationalen Registern; pFIB-6-Score für hepatische Fibrose und Risiko für Typ-2-Diabetes.</w:t>
      </w:r>
    </w:p>
    <w:p>
      <w:r>
        <w:rPr>
          <w:b/>
        </w:rPr>
        <w:t xml:space="preserve">Ergebnis: </w:t>
      </w:r>
      <w:r>
        <w:t>12,4% der adipösen Kinder hatten pFIB-6 ≥4. Hohes pFIB-6 (≥4) erhöhte Typ-2-Diabetes-Risiko im Alter 9–19 Jahre (aHR 3,05, 95% KI 2,17–4,28). Inzidenzrate (pro 10.000 Personenjahre): Allgemeinbevölkerung 1,02, adipöse Kinder pFIB-6 &lt;4: 45,5, pFIB-6 ≥4: 161,7. Erhöhte ALT und HOMA-IR waren stärkste Komponenten. Kein Prognosewert für Alter 20–25 Jahre.</w:t>
      </w:r>
    </w:p>
    <w:p>
      <w:r>
        <w:rPr>
          <w:b/>
          <w:sz w:val="19"/>
        </w:rPr>
        <w:t xml:space="preserve">Übertragbarkeit: </w:t>
      </w:r>
      <w:r>
        <w:rPr>
          <w:sz w:val="19"/>
        </w:rPr>
        <w:t>Schweden; skandinavisches Gesundheitssystem; Früherkennung für intensivierte Überwachung im Jugendalter</w:t>
      </w:r>
    </w:p>
    <w:p>
      <w:r>
        <w:rPr>
          <w:color w:val="5A7D3A"/>
          <w:sz w:val="18"/>
        </w:rPr>
        <w:t>https://pubmed.ncbi.nlm.nih.gov/42486926/</w:t>
      </w:r>
    </w:p>
    <w:p>
      <w:pPr>
        <w:pStyle w:val="Heading2"/>
      </w:pPr>
      <w:r>
        <w:t>Schweizer Wehrpflichtige: Fitness sank, BMI stieg – Mismatch zwischen gefühlter und gemessener Aktivität</w:t>
      </w:r>
    </w:p>
    <w:p>
      <w:r>
        <w:rPr>
          <w:i/>
          <w:color w:val="666666"/>
          <w:sz w:val="18"/>
        </w:rPr>
        <w:t>Stoican K et al.  ·  BMJ Open  ·  15.07.2026  ·  PMID 42463210</w:t>
      </w:r>
    </w:p>
    <w:p>
      <w:r>
        <w:t>Cross-sectionale Analyse von 654.971 Schweizer Wehrpflichtigen 2006–2024; Trends in Fitness-Test-Scores (FTA) und BMI mit selbstberichteter Aktivität.</w:t>
      </w:r>
    </w:p>
    <w:p>
      <w:r>
        <w:rPr>
          <w:b/>
        </w:rPr>
        <w:t xml:space="preserve">Ergebnis: </w:t>
      </w:r>
      <w:r>
        <w:t>Männliche Wehrpflichtige: FTA-Score sank von 74,2 (2006) auf 70,4 (2024); Frauen: FTA stieg von 45,4 auf 49,9. BMI stieg bei Männern von 23,2 auf 24,1 kg/m² (Übergewicht 17%→23%, Adipositas 5%→9%). Trotzdem stieg Selbstbericht für Bewegung (trainiert: 40%→56% bei Männern, 50%→64% bei Frauen). Waist-to-Height Ratio stabil.</w:t>
      </w:r>
    </w:p>
    <w:p>
      <w:r>
        <w:rPr>
          <w:b/>
          <w:sz w:val="19"/>
        </w:rPr>
        <w:t xml:space="preserve">Übertragbarkeit: </w:t>
      </w:r>
      <w:r>
        <w:rPr>
          <w:sz w:val="19"/>
        </w:rPr>
        <w:t>Schweiz; vergleichbare Wehrpflicht-Rekrutierungsdaten, ähnliches Wohlfahrtssystem</w:t>
      </w:r>
    </w:p>
    <w:p>
      <w:r>
        <w:rPr>
          <w:color w:val="5A7D3A"/>
          <w:sz w:val="18"/>
        </w:rPr>
        <w:t>https://pubmed.ncbi.nlm.nih.gov/42463210/</w:t>
      </w:r>
    </w:p>
    <w:p>
      <w:pPr>
        <w:pStyle w:val="Heading1"/>
      </w:pPr>
      <w:r>
        <w:t>Aufgenommen am 04.09.2026</w:t>
      </w:r>
    </w:p>
    <w:p>
      <w:pPr>
        <w:pStyle w:val="Heading2"/>
      </w:pPr>
      <w:r>
        <w:t>Fragmentation in Adipositas-Versorgung behindert Behandlungserfolg in Sri Lanka</w:t>
      </w:r>
    </w:p>
    <w:p>
      <w:r>
        <w:rPr>
          <w:i/>
          <w:color w:val="666666"/>
          <w:sz w:val="18"/>
        </w:rPr>
        <w:t>Gamage GP et al.  ·  BMJ Open  ·  03.09.2026  ·  PMID 42692514</w:t>
      </w:r>
    </w:p>
    <w:p>
      <w:r>
        <w:t>Qualitative Studie mit 8 Versorgungspraktikern in Colombo (Diätassistenten, Ärzte, Verhaltensfachleute): semi-strukturierte Interviews zur Ausgestaltung von Gewichtsmanagement für junge Erwachsene (18–35 Jahre) mit Adipositas.</w:t>
      </w:r>
    </w:p>
    <w:p>
      <w:r>
        <w:rPr>
          <w:b/>
        </w:rPr>
        <w:t xml:space="preserve">Ergebnis: </w:t>
      </w:r>
      <w:r>
        <w:t>Zwei Kernthemen: (1) Barrieren – begrenzte Kompetenz und Selbstsicherheit der Praktiker, fragmentierte Versorgung, Motivations- und Adhärenzprobleme von Patienten, kulturelle/religiöse Mythen; (2) Strategien – frühzeitige Erkennung mit klarem Überweisungssystem, individualisierte interdisziplinäre Versorgung, kontinuierliche Nachsorge und Selbstmonitoring, unterstützendes soziales Umfeld. Koordination der Versorgung ist Schlüsselfaktor.</w:t>
      </w:r>
    </w:p>
    <w:p>
      <w:r>
        <w:rPr>
          <w:b/>
          <w:sz w:val="19"/>
        </w:rPr>
        <w:t xml:space="preserve">Übertragbarkeit: </w:t>
      </w:r>
      <w:r>
        <w:rPr>
          <w:sz w:val="19"/>
        </w:rPr>
        <w:t>Südostasien, aber Erkenntnis zur Fragmentierung gilt auch für Deutschland</w:t>
      </w:r>
    </w:p>
    <w:p>
      <w:r>
        <w:rPr>
          <w:color w:val="5A7D3A"/>
          <w:sz w:val="18"/>
        </w:rPr>
        <w:t>https://pubmed.ncbi.nlm.nih.gov/42692514/</w:t>
      </w:r>
    </w:p>
    <w:p>
      <w:pPr>
        <w:pStyle w:val="Heading2"/>
      </w:pPr>
      <w:r>
        <w:t>Liposuktion bei Lipoödem in Deutschland: Superioriät zur konservativen Therapie</w:t>
      </w:r>
    </w:p>
    <w:p>
      <w:r>
        <w:rPr>
          <w:i/>
          <w:color w:val="666666"/>
          <w:sz w:val="18"/>
        </w:rPr>
        <w:t>Podda M et al.  ·  Lancet  ·  05.09.2026  ·  PMID 42692034</w:t>
      </w:r>
    </w:p>
    <w:p>
      <w:r>
        <w:t>Randomisierte deutsche Multicenter-Studie an 410 Patienten mit Lipoödem, die Liposuktion mit konservativer Kompressionstherapie über 12 Monate verglichen.</w:t>
      </w:r>
    </w:p>
    <w:p>
      <w:r>
        <w:rPr>
          <w:b/>
        </w:rPr>
        <w:t xml:space="preserve">Ergebnis: </w:t>
      </w:r>
      <w:r>
        <w:t>68 % der Liposuktion-Patienten erreichten Schmerzreduktion ≥2 Punkte vs. 8 % unter Therapie (OR 26,2; 95%-KI 13,1–52,5; p&lt;0,0001). Ernsthafte unerwünschte Ereignisse traten in 8 % der Liposuktion-Gruppe auf vs. 3 % unter konservativer Therapie. Sekundäre Outcomes zur Lebensqualität waren in der Liposuktion-Gruppe signifikant besser.</w:t>
      </w:r>
    </w:p>
    <w:p>
      <w:r>
        <w:rPr>
          <w:b/>
          <w:sz w:val="19"/>
        </w:rPr>
        <w:t xml:space="preserve">Übertragbarkeit: </w:t>
      </w:r>
      <w:r>
        <w:rPr>
          <w:sz w:val="19"/>
        </w:rPr>
        <w:t>Deutsche Klinikdaten, vergleichbare Dokumentationspflichten und Erstattungslogik</w:t>
      </w:r>
    </w:p>
    <w:p>
      <w:r>
        <w:rPr>
          <w:color w:val="5A7D3A"/>
          <w:sz w:val="18"/>
        </w:rPr>
        <w:t>https://pubmed.ncbi.nlm.nih.gov/42692034/</w:t>
      </w:r>
    </w:p>
    <w:p>
      <w:pPr>
        <w:pStyle w:val="Heading2"/>
      </w:pPr>
      <w:r>
        <w:t>Adipositas-Prävention bei Kindern: Strategie scheitert bei Benachteiligten</w:t>
      </w:r>
    </w:p>
    <w:p>
      <w:r>
        <w:rPr>
          <w:i/>
          <w:color w:val="666666"/>
          <w:sz w:val="18"/>
        </w:rPr>
        <w:t>Royo-Bordonada MÁ et al.  ·  Rev Esp Salud Publica  ·  01.09.2026  ·  PMID 42690119</w:t>
      </w:r>
    </w:p>
    <w:p>
      <w:r>
        <w:t>Analyse spanischer Adipositasepidemie: 34,1 % der 3–24-Jährigen mit Übergewicht, 10,3 % mit Adipositas; zwischen 2006 und 2016 stieg Adipositas-Prävalenz aber nur in sozial benachteiligten Gebieten.</w:t>
      </w:r>
    </w:p>
    <w:p>
      <w:r>
        <w:rPr>
          <w:b/>
        </w:rPr>
        <w:t xml:space="preserve">Ergebnis: </w:t>
      </w:r>
      <w:r>
        <w:t>Zwischen 2019 und 2023 sanken Übergewicht und Adipositas bei 6–9-Jährigen um 3,1 bzw. 1,4 Prozentpunkte, blieben aber in Familien mit niedrigem Einkommen stabil. Das Adipositas-Ratio (Unterschicht vs. Oberschicht) verschärfte sich von 1,59 auf 2,03. Die NAOS-Strategie verfehlte damit ihre Zielgruppe.</w:t>
      </w:r>
    </w:p>
    <w:p>
      <w:r>
        <w:rPr>
          <w:b/>
          <w:sz w:val="19"/>
        </w:rPr>
        <w:t xml:space="preserve">Übertragbarkeit: </w:t>
      </w:r>
      <w:r>
        <w:rPr>
          <w:sz w:val="19"/>
        </w:rPr>
        <w:t>Südeuropa, ähnliche Versicherungssysteme und Präventionsaufträge</w:t>
      </w:r>
    </w:p>
    <w:p>
      <w:r>
        <w:rPr>
          <w:color w:val="5A7D3A"/>
          <w:sz w:val="18"/>
        </w:rPr>
        <w:t>https://pubmed.ncbi.nlm.nih.gov/42690119/</w:t>
      </w:r>
    </w:p>
    <w:p>
      <w:pPr>
        <w:pStyle w:val="Heading2"/>
      </w:pPr>
      <w:r>
        <w:t>Frühe Gewichtszunahme im Kindesalter schädigt Nierenfunktion dauerhaft</w:t>
      </w:r>
    </w:p>
    <w:p>
      <w:r>
        <w:rPr>
          <w:i/>
          <w:color w:val="666666"/>
          <w:sz w:val="18"/>
        </w:rPr>
        <w:t>Dias M et al.  ·  J Bras Nefrol  ·  Okt. 2026  ·  PMID 42684143</w:t>
      </w:r>
    </w:p>
    <w:p>
      <w:r>
        <w:t>Longitudinale portugiesische Kohortenstudie mit 1004 Kindern (7–9 Jahre), die Gewichtsverlaufsmuster von Geburt bis 6 Jahre mit geschätzter glomerulärer Filtrationsrate korrelierte.</w:t>
      </w:r>
    </w:p>
    <w:p>
      <w:r>
        <w:rPr>
          <w:b/>
        </w:rPr>
        <w:t xml:space="preserve">Ergebnis: </w:t>
      </w:r>
      <w:r>
        <w:t>Kinder mit persistenter oder im Schulalter beginnender beschleunigter Gewichtszunahme (Trajektorie II und III) wiesen signifikant niedrigere eGFR auf (2,68–3,75 mL/min/1,73 m² niedriger als Referenzgruppe in multivariaten Modellen; p nicht durchgehend angegeben, aber CYSTIN-Messung zeigt Effekt). Frühe metabolische Prägung bestimmt spätere Nierenfunktion.</w:t>
      </w:r>
    </w:p>
    <w:p>
      <w:r>
        <w:rPr>
          <w:b/>
          <w:sz w:val="19"/>
        </w:rPr>
        <w:t xml:space="preserve">Übertragbarkeit: </w:t>
      </w:r>
      <w:r>
        <w:rPr>
          <w:sz w:val="19"/>
        </w:rPr>
        <w:t>Südeuropa, Public Health-Kontext ähnlich Süddeutschland</w:t>
      </w:r>
    </w:p>
    <w:p>
      <w:r>
        <w:rPr>
          <w:color w:val="5A7D3A"/>
          <w:sz w:val="18"/>
        </w:rPr>
        <w:t>https://pubmed.ncbi.nlm.nih.gov/42684143/</w:t>
      </w:r>
    </w:p>
    <w:p>
      <w:pPr>
        <w:pStyle w:val="Heading2"/>
      </w:pPr>
      <w:r>
        <w:t>Mütterliches Übergewicht in der Schwangerschaft erhöht kardiovaskuläres Risiko der Kinder langfristig</w:t>
      </w:r>
    </w:p>
    <w:p>
      <w:r>
        <w:rPr>
          <w:i/>
          <w:color w:val="666666"/>
          <w:sz w:val="18"/>
        </w:rPr>
        <w:t>Wang H et al.  ·  JAMA Netw Open  ·  01.09.2026  ·  PMID 42678700</w:t>
      </w:r>
    </w:p>
    <w:p>
      <w:r>
        <w:t>Schwedische Populationskohorte mit 2,5 Mio. ab 1982 Geborenen, Nachverfolgung bis 2023: Assoziation mütterlicher BMI und Gestationsgewichtszunahme mit kardiovaskulären Ereignissen im Nachwuchs (median 22 Jahre Follow-up).</w:t>
      </w:r>
    </w:p>
    <w:p>
      <w:r>
        <w:rPr>
          <w:b/>
        </w:rPr>
        <w:t xml:space="preserve">Ergebnis: </w:t>
      </w:r>
      <w:r>
        <w:t>22.510 Fälle von kardiovaskulären Erkrankungen (0,9 %). Verglichen mit normalgewichtigen Müttern: Übergewicht der Mutter HR 1,29, Adipositas Klasse 1 HR 1,66, Klasse 2 HR 2,16, Klasse 3 HR 2,74. Höhere Gestationsgewichtszunahme (z-Score ≥1) bei normalgewichtigen Müttern: HR 1,16. Sibling-Analysen zeigten teilweise Attenuierung, aber Assoziationen blieben evident.</w:t>
      </w:r>
    </w:p>
    <w:p>
      <w:r>
        <w:rPr>
          <w:b/>
          <w:sz w:val="19"/>
        </w:rPr>
        <w:t xml:space="preserve">Übertragbarkeit: </w:t>
      </w:r>
      <w:r>
        <w:rPr>
          <w:sz w:val="19"/>
        </w:rPr>
        <w:t>Skandinavien, vergleichbare Geburtshilfe und Kinder-Nachverfolgung</w:t>
      </w:r>
    </w:p>
    <w:p>
      <w:r>
        <w:rPr>
          <w:color w:val="5A7D3A"/>
          <w:sz w:val="18"/>
        </w:rPr>
        <w:t>https://pubmed.ncbi.nlm.nih.gov/42678700/</w:t>
      </w:r>
    </w:p>
    <w:p>
      <w:pPr>
        <w:pStyle w:val="Heading2"/>
      </w:pPr>
      <w:r>
        <w:t>Strukturierte Lebensstiländerung verbessert Body-Komposition unabhängig vom Gewichtsverlust</w:t>
      </w:r>
    </w:p>
    <w:p>
      <w:r>
        <w:rPr>
          <w:i/>
          <w:color w:val="666666"/>
          <w:sz w:val="18"/>
        </w:rPr>
        <w:t>Rúnarsdóttir TR et al.  ·  Mol Nutr Food Res  ·  Aug. 2026  ·  PMID 42522290</w:t>
      </w:r>
    </w:p>
    <w:p>
      <w:r>
        <w:t>Randomisierte isländische Doppelblind-Studie mit 33 Frauen mit Adipositas (BMI 30,0–54,1 kg/m²): 12-Wochen-Programm mit Chitosan oder Placebo plus strukturierte Lebensstiländerung (Ernährung, Bewegung); DXA-Analysen der Body-Komposition.</w:t>
      </w:r>
    </w:p>
    <w:p>
      <w:r>
        <w:rPr>
          <w:b/>
        </w:rPr>
        <w:t xml:space="preserve">Ergebnis: </w:t>
      </w:r>
      <w:r>
        <w:t>Strukturierte Lifestyle-Interventionen erhöhten Muskelmasse, Handgriffstärke, Ausdauer und Selbstbewertung der Gesundheit über alle BMI-Gruppen hinweg, während Körperfettmasse und mittlerer arterieller Blutdruck sanken – unabhängig von Gewichtsverlust. Chitosan-Supplementation war mit Reduktion des Firmicutes/Bacteroidota-Verhältnisses assoziiert. Interpretierbarkeit durch kleine Stichprobe begrenzt.</w:t>
      </w:r>
    </w:p>
    <w:p>
      <w:r>
        <w:rPr>
          <w:b/>
          <w:sz w:val="19"/>
        </w:rPr>
        <w:t xml:space="preserve">Übertragbarkeit: </w:t>
      </w:r>
      <w:r>
        <w:rPr>
          <w:sz w:val="19"/>
        </w:rPr>
        <w:t>Nordeuropa, ähnliche Fachkompetenz in klinischer Ernährung</w:t>
      </w:r>
    </w:p>
    <w:p>
      <w:r>
        <w:rPr>
          <w:color w:val="5A7D3A"/>
          <w:sz w:val="18"/>
        </w:rPr>
        <w:t>https://pubmed.ncbi.nlm.nih.gov/42522290/</w:t>
      </w:r>
    </w:p>
    <w:p>
      <w:pPr>
        <w:pStyle w:val="Heading1"/>
      </w:pPr>
      <w:r>
        <w:t>Aufgenommen am 03.09.2026</w:t>
      </w:r>
    </w:p>
    <w:p>
      <w:pPr>
        <w:pStyle w:val="Heading2"/>
      </w:pPr>
      <w:r>
        <w:t>Leberablagerungen in der Kindheit vorhersagen kardiovaskuläres Risiko im jungen Erwachsenenalter</w:t>
      </w:r>
    </w:p>
    <w:p>
      <w:r>
        <w:rPr>
          <w:i/>
          <w:color w:val="666666"/>
          <w:sz w:val="18"/>
        </w:rPr>
        <w:t>Stroes AR et al.  ·  Pediatr Obes  ·  Sept. 2026  ·  PMID 42683934</w:t>
      </w:r>
    </w:p>
    <w:p>
      <w:r>
        <w:t>10-Jahres-Kohortenstudie zu Hepatic steatosis und Carotis-Intima-Media-Dicke (cIMT) bei Kindern mit schwerer Adipositas und deren 10-Jahres-Verfolgung.</w:t>
      </w:r>
    </w:p>
    <w:p>
      <w:r>
        <w:rPr>
          <w:b/>
        </w:rPr>
        <w:t xml:space="preserve">Ergebnis: </w:t>
      </w:r>
      <w:r>
        <w:t>46% der Kinder hatten Steatose, 46% auch als Erwachsene. Steatose im jungen Erwachsenenalter war unabhängig mit erhöhter cIMT assoziiert (Mittelwertdifferenz 0,035 mm, p=0,008). Kindliche Steatose sagte cIMT-Progression voraus. Persistente oder neu auftretende Steatose kennzeichnet höheres Herz-Kreislauf-Risiko.</w:t>
      </w:r>
    </w:p>
    <w:p>
      <w:r>
        <w:rPr>
          <w:b/>
          <w:sz w:val="19"/>
        </w:rPr>
        <w:t xml:space="preserve">Übertragbarkeit: </w:t>
      </w:r>
      <w:r>
        <w:rPr>
          <w:sz w:val="19"/>
        </w:rPr>
        <w:t>Niederländische Klinikdaten, Versorgungskontinuität etabliert</w:t>
      </w:r>
    </w:p>
    <w:p>
      <w:r>
        <w:rPr>
          <w:color w:val="5A7D3A"/>
          <w:sz w:val="18"/>
        </w:rPr>
        <w:t>https://pubmed.ncbi.nlm.nih.gov/42683934/</w:t>
      </w:r>
    </w:p>
    <w:p>
      <w:pPr>
        <w:pStyle w:val="Heading2"/>
      </w:pPr>
      <w:r>
        <w:t>Bauchlagerung bei schwerem Übergewicht mit ARDS machbar und sicher</w:t>
      </w:r>
    </w:p>
    <w:p>
      <w:r>
        <w:rPr>
          <w:i/>
          <w:color w:val="666666"/>
          <w:sz w:val="18"/>
        </w:rPr>
        <w:t>Lee C et al.  ·  Am J Crit Care  ·  01.09.2026  ·  PMID 42676144</w:t>
      </w:r>
    </w:p>
    <w:p>
      <w:r>
        <w:t>Retrospektive Kohortenstudie von 1.448 ARDS-Patienten mit unterschiedlichen Adipositas-Graden; Feasibility und Sicherheit von manueller Bauchlagerung.</w:t>
      </w:r>
    </w:p>
    <w:p>
      <w:r>
        <w:rPr>
          <w:b/>
        </w:rPr>
        <w:t xml:space="preserve">Ergebnis: </w:t>
      </w:r>
      <w:r>
        <w:t>Bauchlagerung war machbar und sicher über alle Adipositas-Klassen. Patienten mit Adipositas Grad III zeigten größte Verbesserungen in Gasaustausch (37% PaO2/FiO2-Anstieg vs. 28% bei Normalgewicht, p&lt;0,05). Komplikationsraten niedrig in allen Gruppen. ICU- und Krankenhausverweildauer verkürzt.</w:t>
      </w:r>
    </w:p>
    <w:p>
      <w:r>
        <w:rPr>
          <w:b/>
          <w:sz w:val="19"/>
        </w:rPr>
        <w:t xml:space="preserve">Übertragbarkeit: </w:t>
      </w:r>
      <w:r>
        <w:rPr>
          <w:sz w:val="19"/>
        </w:rPr>
        <w:t>USA, aber Sicherheitseffekt ist gewichtssystemunabhängig übertragbar</w:t>
      </w:r>
    </w:p>
    <w:p>
      <w:r>
        <w:rPr>
          <w:color w:val="5A7D3A"/>
          <w:sz w:val="18"/>
        </w:rPr>
        <w:t>https://pubmed.ncbi.nlm.nih.gov/42676144/</w:t>
      </w:r>
    </w:p>
    <w:p>
      <w:pPr>
        <w:pStyle w:val="Heading2"/>
      </w:pPr>
      <w:r>
        <w:t>Kardiovaskulär-renales-metabolisches Syndrom erhöht Pankreaskrebsrisiko dosisabhängig</w:t>
      </w:r>
    </w:p>
    <w:p>
      <w:r>
        <w:rPr>
          <w:i/>
          <w:color w:val="666666"/>
          <w:sz w:val="18"/>
        </w:rPr>
        <w:t>Choi M et al.  ·  Diabetes Metab Res Rev  ·  Sept. 2026  ·  PMID 42549759</w:t>
      </w:r>
    </w:p>
    <w:p>
      <w:r>
        <w:t>Prospektive Kohorte mit 326.148 UK-Biobank-Teilnehmern; 1.234 Pankreaskrebsfälle über 13,5 Jahre Follow-up zur Assoziation zwischen CKM-Stadien und Pankreaskrebsinzidenz.</w:t>
      </w:r>
    </w:p>
    <w:p>
      <w:r>
        <w:rPr>
          <w:b/>
        </w:rPr>
        <w:t xml:space="preserve">Ergebnis: </w:t>
      </w:r>
      <w:r>
        <w:t>Pankreaskrebsinzidenz stieg von 9,0 (Stadium 0) auf 48,6 pro 100.000 Personenjahre (Stadium 4). Adjustierte SHR für Stadium 1-2: 1,97-2,02; Stadium 3-4: 2,08 (p&lt;0,001). Assoziation bestand über Alters-, Geschlechts- und Raucherstatus hinweg. Metabolischer Funktionsverlust als Risikostratifizierer.</w:t>
      </w:r>
    </w:p>
    <w:p>
      <w:r>
        <w:rPr>
          <w:b/>
          <w:sz w:val="19"/>
        </w:rPr>
        <w:t xml:space="preserve">Übertragbarkeit: </w:t>
      </w:r>
      <w:r>
        <w:rPr>
          <w:sz w:val="19"/>
        </w:rPr>
        <w:t>UK-Biobank, generalisierbar auf europäische Settings mit ähnlicher Risikoprofilierung</w:t>
      </w:r>
    </w:p>
    <w:p>
      <w:r>
        <w:rPr>
          <w:color w:val="5A7D3A"/>
          <w:sz w:val="18"/>
        </w:rPr>
        <w:t>https://pubmed.ncbi.nlm.nih.gov/42549759/</w:t>
      </w:r>
    </w:p>
    <w:p>
      <w:pPr>
        <w:pStyle w:val="Heading2"/>
      </w:pPr>
      <w:r>
        <w:t>Niedriges Bildungsniveau erhöht Adipositas-Risiko um 61% trotz Lifestyle-Anpassung</w:t>
      </w:r>
    </w:p>
    <w:p>
      <w:r>
        <w:rPr>
          <w:i/>
          <w:color w:val="666666"/>
          <w:sz w:val="18"/>
        </w:rPr>
        <w:t>Vicente-Herrero MT et al.  ·  Med Sci (Basel)  ·  27.06.2026  ·  PMID 42506320</w:t>
      </w:r>
    </w:p>
    <w:p>
      <w:r>
        <w:t>Querschnittsstudie von 3.108 berufstätigen Erwachsenen in Spanien zu Assoziation zwischen Bildungsstand und Adipositas und Attenuation durch Lifestyle-Faktoren.</w:t>
      </w:r>
    </w:p>
    <w:p>
      <w:r>
        <w:rPr>
          <w:b/>
        </w:rPr>
        <w:t xml:space="preserve">Ergebnis: </w:t>
      </w:r>
      <w:r>
        <w:t>Adipositas-Prävalenz: 11,5% (höhere Bildung) vs. 19,8% (Grund-/keine Bildung). Rohes OR 1,89 (95% CI 1,46-2,45). Nach Adjust für Alter/Geschlecht OR 1,72; nach Hinzunahme von Rauchen, körperlicher Aktivität (IPAQ) und Mittelmeer-Diät (MEDAS-14) OR 1,63. Vollständig adjustiert OR 1,61 (95% CI 1,18-2,21) – statistisch signifikant, aber attenuiert.</w:t>
      </w:r>
    </w:p>
    <w:p>
      <w:r>
        <w:rPr>
          <w:b/>
          <w:sz w:val="19"/>
        </w:rPr>
        <w:t xml:space="preserve">Übertragbarkeit: </w:t>
      </w:r>
      <w:r>
        <w:rPr>
          <w:sz w:val="19"/>
        </w:rPr>
        <w:t>Spanien, europäisches Versicherungssystem, Sozialgradienten vergleichbar</w:t>
      </w:r>
    </w:p>
    <w:p>
      <w:r>
        <w:rPr>
          <w:color w:val="5A7D3A"/>
          <w:sz w:val="18"/>
        </w:rPr>
        <w:t>https://pubmed.ncbi.nlm.nih.gov/42506320/</w:t>
      </w:r>
    </w:p>
    <w:p>
      <w:pPr>
        <w:pStyle w:val="Heading2"/>
      </w:pPr>
      <w:r>
        <w:t>Primärärzte sehen GLP-1-Mittel als Diskussionsstarter, berichten aber über Unsicherheiten</w:t>
      </w:r>
    </w:p>
    <w:p>
      <w:r>
        <w:rPr>
          <w:i/>
          <w:color w:val="666666"/>
          <w:sz w:val="18"/>
        </w:rPr>
        <w:t>Hellgren J et al.  ·  Scand J Prim Health Care  ·  17.07.2026  ·  PMID 42464703</w:t>
      </w:r>
    </w:p>
    <w:p>
      <w:r>
        <w:t>Qualitative Studie mit 11 Fachinterviews bei Hausärzten in Schweden zu Erfahrungen und Haltungen zu Anti-Adiposita-Medikamenten im klinischen Alltag.</w:t>
      </w:r>
    </w:p>
    <w:p>
      <w:r>
        <w:rPr>
          <w:b/>
        </w:rPr>
        <w:t xml:space="preserve">Ergebnis: </w:t>
      </w:r>
      <w:r>
        <w:t>Ärzte berichten, dass GLP-1-Medikamente personenzentrierte Gespräche über Gewichtsmanagement erleichtern, nennen aber Herausforderungen durch begrenzte klinische Erfahrung, unkare Behandlungsdauer und fehlende Richtlinien. Hauptthema: Verschiebung klinischer Verantwortung bei komplexer Adipositas.</w:t>
      </w:r>
    </w:p>
    <w:p>
      <w:r>
        <w:rPr>
          <w:b/>
          <w:sz w:val="19"/>
        </w:rPr>
        <w:t xml:space="preserve">Übertragbarkeit: </w:t>
      </w:r>
      <w:r>
        <w:rPr>
          <w:sz w:val="19"/>
        </w:rPr>
        <w:t>Skandinavisches Versicherungssystem, ähnliche Aufbaustruktur der Primärversorgung</w:t>
      </w:r>
    </w:p>
    <w:p>
      <w:r>
        <w:rPr>
          <w:color w:val="5A7D3A"/>
          <w:sz w:val="18"/>
        </w:rPr>
        <w:t>https://pubmed.ncbi.nlm.nih.gov/42464703/</w:t>
      </w:r>
    </w:p>
    <w:p>
      <w:pPr>
        <w:pStyle w:val="Heading2"/>
      </w:pPr>
      <w:r>
        <w:t>Gewichtsverlust vor psychotischer Episode prognostiziert doppelte Gewichtszunahme</w:t>
      </w:r>
    </w:p>
    <w:p>
      <w:r>
        <w:rPr>
          <w:i/>
          <w:color w:val="666666"/>
          <w:sz w:val="18"/>
        </w:rPr>
        <w:t>O'Mahony B et al.  ·  BMJ Ment Health  ·  16.07.2026  ·  PMID 42463299</w:t>
      </w:r>
    </w:p>
    <w:p>
      <w:r>
        <w:t>Retrospektive Kohortenstudie von 369 Patienten mit First-Episode Psychosis (FEP) aus UK CPRD zu Gewichtsverlauf vor und nach Diagnose.</w:t>
      </w:r>
    </w:p>
    <w:p>
      <w:r>
        <w:rPr>
          <w:b/>
        </w:rPr>
        <w:t xml:space="preserve">Ergebnis: </w:t>
      </w:r>
      <w:r>
        <w:t>53% verloren vor FEP-Diagnose an Gewicht. Mit vorigem Gewichtsverlust verdoppelte sich die post-Diagnose-Zunahme (8,93% vs. 4,07% jährlich; p=0,005). Je 1% Prä-Verlust sagte 0,41% zusätzliche Jahresgewichtszunahme voraus (p=0,004). Durchschnittliche Gewinne überstiegen Vorgängig-Verluste nach 1 Jahr (6,49 kg vs. 4,83 kg).</w:t>
      </w:r>
    </w:p>
    <w:p>
      <w:r>
        <w:rPr>
          <w:b/>
          <w:sz w:val="19"/>
        </w:rPr>
        <w:t xml:space="preserve">Übertragbarkeit: </w:t>
      </w:r>
      <w:r>
        <w:rPr>
          <w:sz w:val="19"/>
        </w:rPr>
        <w:t>UK-Primärversorgungsdaten, deutsches System vergleichbar bei Dokumentation</w:t>
      </w:r>
    </w:p>
    <w:p>
      <w:r>
        <w:rPr>
          <w:color w:val="5A7D3A"/>
          <w:sz w:val="18"/>
        </w:rPr>
        <w:t>https://pubmed.ncbi.nlm.nih.gov/42463299/</w:t>
      </w:r>
    </w:p>
    <w:p>
      <w:pPr>
        <w:pStyle w:val="Heading1"/>
      </w:pPr>
      <w:r>
        <w:t>Aufgenommen am 02.09.2026</w:t>
      </w:r>
    </w:p>
    <w:p>
      <w:pPr>
        <w:pStyle w:val="Heading2"/>
      </w:pPr>
      <w:r>
        <w:t>Mütterliche Adipositas: erhöhtes Sterblichkeitsrisiko der Nachkommen bis ins junge Erwachsenenalter</w:t>
      </w:r>
    </w:p>
    <w:p>
      <w:r>
        <w:rPr>
          <w:i/>
          <w:color w:val="666666"/>
          <w:sz w:val="18"/>
        </w:rPr>
        <w:t>Wang H et al.  ·  PLoS Med  ·  01.09.2026  ·  PMID 42678958</w:t>
      </w:r>
    </w:p>
    <w:p>
      <w:r>
        <w:t>Kohorte von 2,61 Millionen schwedischen Neugeborenen (1982–2014) mit Verfolgung bis 2023 auf Assoziationen zwischen mütterlichem BMI und Sterblichkeit der Nachkommen.</w:t>
      </w:r>
    </w:p>
    <w:p>
      <w:r>
        <w:rPr>
          <w:b/>
        </w:rPr>
        <w:t xml:space="preserve">Ergebnis: </w:t>
      </w:r>
      <w:r>
        <w:t>21.981 Todesfälle (0,8 %) dokumentiert. Mütterliche Adipositas Grad III (BMI ≥40): HR 1,92 (95% KI [1,59–2,33]; p&lt;0,001) für Gesamtsterblichkeit vs. Normalgewicht; Dosis-Wirkungs-Beziehung über alle Grade.</w:t>
      </w:r>
    </w:p>
    <w:p>
      <w:r>
        <w:rPr>
          <w:b/>
          <w:sz w:val="19"/>
        </w:rPr>
        <w:t xml:space="preserve">Übertragbarkeit: </w:t>
      </w:r>
      <w:r>
        <w:rPr>
          <w:sz w:val="19"/>
        </w:rPr>
        <w:t>Skandinavien, registergestützte Langzeitdaten, ähnliches Versicherungssystem</w:t>
      </w:r>
    </w:p>
    <w:p>
      <w:r>
        <w:rPr>
          <w:color w:val="5A7D3A"/>
          <w:sz w:val="18"/>
        </w:rPr>
        <w:t>https://pubmed.ncbi.nlm.nih.gov/42678958/</w:t>
      </w:r>
    </w:p>
    <w:p>
      <w:pPr>
        <w:pStyle w:val="Heading2"/>
      </w:pPr>
      <w:r>
        <w:t>Werbeverbote für Junkfood im TV: 271.000 Übergewichtsfälle in mexikanischen Kindern vermieden</w:t>
      </w:r>
    </w:p>
    <w:p>
      <w:r>
        <w:rPr>
          <w:i/>
          <w:color w:val="666666"/>
          <w:sz w:val="18"/>
        </w:rPr>
        <w:t>Alonso-Bastida A et al.  ·  JAMA Netw Open  ·  01.09.2026  ·  PMID 42678697</w:t>
      </w:r>
    </w:p>
    <w:p>
      <w:r>
        <w:t>Simulationsmodell zur Auswirkung kompletter Entfernung von TV-Werbung für ungesunde Lebensmittel auf Energiezufuhr und Adipositas bei 10- bis 17-Jährigen in Mexiko.</w:t>
      </w:r>
    </w:p>
    <w:p>
      <w:r>
        <w:rPr>
          <w:b/>
        </w:rPr>
        <w:t xml:space="preserve">Ergebnis: </w:t>
      </w:r>
      <w:r>
        <w:t>Werbeentfernung assoziiert mit projiziertem Rückgang von 47 kcal/Tag (95% UI [3–92]), Gewichtsreduktion 1,2 kg/Kind in 1 Jahr (95% UI [0,1–2,2]). Adipositasprävalenz sank um 8,3 % (95% UI [0,3–18,1%]), entsprechend 271.000 vermiedenen Fällen.</w:t>
      </w:r>
    </w:p>
    <w:p>
      <w:r>
        <w:rPr>
          <w:b/>
          <w:sz w:val="19"/>
        </w:rPr>
        <w:t xml:space="preserve">Übertragbarkeit: </w:t>
      </w:r>
      <w:r>
        <w:rPr>
          <w:sz w:val="19"/>
        </w:rPr>
        <w:t>Lateinamerika, Präventionsstrategie auf Bevölkerungsebene, übertragbar auf DACH</w:t>
      </w:r>
    </w:p>
    <w:p>
      <w:r>
        <w:rPr>
          <w:color w:val="5A7D3A"/>
          <w:sz w:val="18"/>
        </w:rPr>
        <w:t>https://pubmed.ncbi.nlm.nih.gov/42678697/</w:t>
      </w:r>
    </w:p>
    <w:p>
      <w:pPr>
        <w:pStyle w:val="Heading2"/>
      </w:pPr>
      <w:r>
        <w:t>Gewichtszunahme nach Absetzen von Semaglutid/Tirzepatid: 50 % Rückgang in 7,5 Monaten</w:t>
      </w:r>
    </w:p>
    <w:p>
      <w:r>
        <w:rPr>
          <w:i/>
          <w:color w:val="666666"/>
          <w:sz w:val="18"/>
        </w:rPr>
        <w:t>Kow CS et al.  ·  Endocrinol Diabetes Metab  ·  Sept. 2026  ·  PMID 42673571</w:t>
      </w:r>
    </w:p>
    <w:p>
      <w:r>
        <w:t>Bayesische Metaanalyse von 6 Studien mit 1.776 Teilnehmern zur Gewichtsrückgang-Trajektorie nach Absetzen von GLP-1-Rezeptoragonisten.</w:t>
      </w:r>
    </w:p>
    <w:p>
      <w:r>
        <w:rPr>
          <w:b/>
        </w:rPr>
        <w:t xml:space="preserve">Ergebnis: </w:t>
      </w:r>
      <w:r>
        <w:t>Bei Absetzen durchschnittlich 15,35 kg Gewichtsverlust (95% CrI [11,18–19,60]); danach Rückgang 1,04 kg/Monat (95% CrI [0,80–1,29]). 50 % des Gewichtsverlusts projiziert bis 7,50 Monate (95% CrI [5,05–10,57]), Rückkehr zum Ausgangsgewicht in 15,00 Monaten (95% CrI [10,10–21,13]).</w:t>
      </w:r>
    </w:p>
    <w:p>
      <w:r>
        <w:rPr>
          <w:b/>
          <w:sz w:val="19"/>
        </w:rPr>
        <w:t xml:space="preserve">Übertragbarkeit: </w:t>
      </w:r>
      <w:r>
        <w:rPr>
          <w:sz w:val="19"/>
        </w:rPr>
        <w:t>USA/international, Abbruchquoten und Gewichtsverlauf zentral für Versorgungsentscheidung</w:t>
      </w:r>
    </w:p>
    <w:p>
      <w:r>
        <w:rPr>
          <w:color w:val="5A7D3A"/>
          <w:sz w:val="18"/>
        </w:rPr>
        <w:t>https://pubmed.ncbi.nlm.nih.gov/42673571/</w:t>
      </w:r>
    </w:p>
    <w:p>
      <w:pPr>
        <w:pStyle w:val="Heading2"/>
      </w:pPr>
      <w:r>
        <w:t>Adipositasversorgung in französischen Zentren: COVID-19-Pandemie störte Behandlungsabläufe</w:t>
      </w:r>
    </w:p>
    <w:p>
      <w:r>
        <w:rPr>
          <w:i/>
          <w:color w:val="666666"/>
          <w:sz w:val="18"/>
        </w:rPr>
        <w:t>Alessandrin A et al.  ·  Sante Publique  ·  2026  ·  PMID 42547407</w:t>
      </w:r>
    </w:p>
    <w:p>
      <w:r>
        <w:t>Qualitative und quantitative Studie zu Auswirkungen von Lockdowns und Ausgangssperren auf Patienten in spezialisierten Adipositaszentren (CSOs) in Nouvelle-Aquitaine, Frankreich.</w:t>
      </w:r>
    </w:p>
    <w:p>
      <w:r>
        <w:rPr>
          <w:b/>
        </w:rPr>
        <w:t xml:space="preserve">Ergebnis: </w:t>
      </w:r>
      <w:r>
        <w:t>Lockdowns und Ausgangssperren führten zu Unterbrechungen in den Behandlungsabläufen; die Studie zeigt spezifische Versorgungsprobleme dieser Patientengruppe während der Pandemie auf.</w:t>
      </w:r>
    </w:p>
    <w:p>
      <w:r>
        <w:rPr>
          <w:b/>
          <w:sz w:val="19"/>
        </w:rPr>
        <w:t xml:space="preserve">Übertragbarkeit: </w:t>
      </w:r>
      <w:r>
        <w:rPr>
          <w:sz w:val="19"/>
        </w:rPr>
        <w:t>Frankreich, vergleichbares öffentliches Gesundheitssystem und Versorgungsstruktur</w:t>
      </w:r>
    </w:p>
    <w:p>
      <w:r>
        <w:rPr>
          <w:color w:val="5A7D3A"/>
          <w:sz w:val="18"/>
        </w:rPr>
        <w:t>https://pubmed.ncbi.nlm.nih.gov/42547407/</w:t>
      </w:r>
    </w:p>
    <w:p>
      <w:pPr>
        <w:pStyle w:val="Heading2"/>
      </w:pPr>
      <w:r>
        <w:t>Adipositas erklärt Ungleichheiten in Kardiometabolika: 53–72 % der Assoziation mit Bildung</w:t>
      </w:r>
    </w:p>
    <w:p>
      <w:r>
        <w:rPr>
          <w:i/>
          <w:color w:val="666666"/>
          <w:sz w:val="18"/>
        </w:rPr>
        <w:t>Vicente-Herrero MT et al.  ·  Med Sci (Basel)  ·  09.07.2026  ·  PMID 42506351</w:t>
      </w:r>
    </w:p>
    <w:p>
      <w:r>
        <w:t>Querschnittstudie mit 3.108 arbeitstätigen Erwachsenen in Spanien zur Mediationsrolle von Adipositas in der Assoziation zwischen Sozioökonomie und kardiometabolischen Ergebnissen.</w:t>
      </w:r>
    </w:p>
    <w:p>
      <w:r>
        <w:rPr>
          <w:b/>
        </w:rPr>
        <w:t xml:space="preserve">Ergebnis: </w:t>
      </w:r>
      <w:r>
        <w:t>Starker sozioökonomischer Gradient für alle kardiometabolischen Ergebnisse (p für Trend &lt;0,001). Einbeziehung von Adipositas reduzierte Effektschätzer um ca. 53–72 % für Fettleber, Insulinresistenz und metabolisches Syndrom. Adipositas war mit ~28 % Abschwächung der Fettleberassoziation verbunden.</w:t>
      </w:r>
    </w:p>
    <w:p>
      <w:r>
        <w:rPr>
          <w:b/>
          <w:sz w:val="19"/>
        </w:rPr>
        <w:t xml:space="preserve">Übertragbarkeit: </w:t>
      </w:r>
      <w:r>
        <w:rPr>
          <w:sz w:val="19"/>
        </w:rPr>
        <w:t>Südeuropa, arbeitstätige Bevölkerung, vergleichbare Sozialstruktur</w:t>
      </w:r>
    </w:p>
    <w:p>
      <w:r>
        <w:rPr>
          <w:color w:val="5A7D3A"/>
          <w:sz w:val="18"/>
        </w:rPr>
        <w:t>https://pubmed.ncbi.nlm.nih.gov/42506351/</w:t>
      </w:r>
    </w:p>
    <w:p>
      <w:pPr>
        <w:pStyle w:val="Heading2"/>
      </w:pPr>
      <w:r>
        <w:t>Hyperandrogenismus und Adipositas erhöhen Präeklampsie-Risiko nach Embryotransfer um das 7,5-Fache</w:t>
      </w:r>
    </w:p>
    <w:p>
      <w:r>
        <w:rPr>
          <w:i/>
          <w:color w:val="666666"/>
          <w:sz w:val="18"/>
        </w:rPr>
        <w:t>Aihaiti R et al.  ·  J Clin Hypertens (Greenwich)  ·  Juli 2026  ·  PMID 42496046</w:t>
      </w:r>
    </w:p>
    <w:p>
      <w:r>
        <w:t>Retrospektive Kohorte von 1.556 Frauen, die sich einer Befruchtung mit gefrorenem Embryo unterzogen, zur Auswirkung kombinierter Hyperandrogenismus und Übergewicht/Adipositas auf Schwangerschaftskomplikationen.</w:t>
      </w:r>
    </w:p>
    <w:p>
      <w:r>
        <w:rPr>
          <w:b/>
        </w:rPr>
        <w:t xml:space="preserve">Ergebnis: </w:t>
      </w:r>
      <w:r>
        <w:t>Kombiniert Hyperandrogenismus + Übergewicht/Adipositas: 13,3 % Präeklampsie (aOR 7,53; 95% KI [3,72–15,23]) vs. Kontrolle (1,8 %); Frühgeburtlichkeit 23,3 % (aOR 3,67; 95% KI [1,85–7,28]) vs. 6,3 %. Isolierte Adipositas: aOR 3,45 für Gestationsbluthochdruck.</w:t>
      </w:r>
    </w:p>
    <w:p>
      <w:r>
        <w:rPr>
          <w:b/>
          <w:sz w:val="19"/>
        </w:rPr>
        <w:t xml:space="preserve">Übertragbarkeit: </w:t>
      </w:r>
      <w:r>
        <w:rPr>
          <w:sz w:val="19"/>
        </w:rPr>
        <w:t>China, Fertilitätspopulation, zeigt Adipositas-Effekt auch ohne GLP-1-Verfügbarkeit</w:t>
      </w:r>
    </w:p>
    <w:p>
      <w:r>
        <w:rPr>
          <w:color w:val="5A7D3A"/>
          <w:sz w:val="18"/>
        </w:rPr>
        <w:t>https://pubmed.ncbi.nlm.nih.gov/42496046/</w:t>
      </w:r>
    </w:p>
    <w:p>
      <w:pPr>
        <w:pStyle w:val="Heading2"/>
      </w:pPr>
      <w:r>
        <w:t>Thromboembolieprophylaxe nach Adipositaschirurgie: postoperative Gabe reduziert Blutung ohne VTE-Anstieg</w:t>
      </w:r>
    </w:p>
    <w:p>
      <w:r>
        <w:rPr>
          <w:i/>
          <w:color w:val="666666"/>
          <w:sz w:val="18"/>
        </w:rPr>
        <w:t>Skogar ML et al.  ·  BJS Open  ·  03.07.2026  ·  PMID 42479664</w:t>
      </w:r>
    </w:p>
    <w:p>
      <w:r>
        <w:t>Nationale retrospektive Kohortenstudie mit 83.801 Patienten aus dem schwedischen Adipositaschirurgie-Register zur optimalen Timing und Dauer der Thromboprophylaxe.</w:t>
      </w:r>
    </w:p>
    <w:p>
      <w:r>
        <w:rPr>
          <w:b/>
        </w:rPr>
        <w:t xml:space="preserve">Ergebnis: </w:t>
      </w:r>
      <w:r>
        <w:t>VTE-Inzidenz 0,1 % (76 Patienten), postoperative Blutung 1,6 % (1.373). Postoperatives Starten vs. präoperativ assoziiert mit niedrigerem intraoperativem Blutungsrisiko (aOR 0,52; 95% KI [0,37–0,74]). Keine signifikante Assoziation zwischen Prophylaxe-Dauer und VTE oder postoperativer Blutung.</w:t>
      </w:r>
    </w:p>
    <w:p>
      <w:r>
        <w:rPr>
          <w:b/>
          <w:sz w:val="19"/>
        </w:rPr>
        <w:t xml:space="preserve">Übertragbarkeit: </w:t>
      </w:r>
      <w:r>
        <w:rPr>
          <w:sz w:val="19"/>
        </w:rPr>
        <w:t>Skandinavien, nationale Registerdaten, vergleichbare Chirurgie-Standards</w:t>
      </w:r>
    </w:p>
    <w:p>
      <w:r>
        <w:rPr>
          <w:color w:val="5A7D3A"/>
          <w:sz w:val="18"/>
        </w:rPr>
        <w:t>https://pubmed.ncbi.nlm.nih.gov/42479664/</w:t>
      </w:r>
    </w:p>
    <w:p>
      <w:pPr>
        <w:pStyle w:val="Heading1"/>
      </w:pPr>
      <w:r>
        <w:t>Aufgenommen am 01.09.2026</w:t>
      </w:r>
    </w:p>
    <w:p>
      <w:pPr>
        <w:pStyle w:val="Heading2"/>
      </w:pPr>
      <w:r>
        <w:t>ADHS-Symptome als Prädiktor für schlechtere BMI-Ergebnisse bei familienbasierter Verhaltensbehandlung schwerer Adipositas bei Jugendlichen</w:t>
      </w:r>
    </w:p>
    <w:p>
      <w:r>
        <w:rPr>
          <w:i/>
          <w:color w:val="666666"/>
          <w:sz w:val="18"/>
        </w:rPr>
        <w:t>Skodvin VA et al.  ·  Pediatr Obes  ·  Sept. 2026  ·  PMID 42675013</w:t>
      </w:r>
    </w:p>
    <w:p>
      <w:r>
        <w:t>Norwegische Studie mit 90 Jugendlichen (Median 13,2 Jahre) mit schwerer Adipositas in 17-Sitzungen-Familienbehandlung (FBT) zum Einfluss psychischer Symptome auf BMI-Abnahme.</w:t>
      </w:r>
    </w:p>
    <w:p>
      <w:r>
        <w:rPr>
          <w:b/>
        </w:rPr>
        <w:t xml:space="preserve">Ergebnis: </w:t>
      </w:r>
      <w:r>
        <w:t>Durchschnittliche BMI-Reduktion während FBT: -3,80 (%IOTF25) und -0,08 (BMIz). Höhere ADHS-Symptomwerte vorhersagend für kleinere BMI-Reduktion (0,31 Einheiten %IOTF25, p=0,02; 0,01 Einheiten BMIz, p=0,03 pro T-Score-Punkt). Selbstwertgefühl, emotionale Dysregulation, internalisierend/externalisierend Probleme nicht signifikant. Familienunterstützung sollte für Kinder mit ADHS intensiviert werden.</w:t>
      </w:r>
    </w:p>
    <w:p>
      <w:r>
        <w:rPr>
          <w:b/>
          <w:sz w:val="19"/>
        </w:rPr>
        <w:t xml:space="preserve">Übertragbarkeit: </w:t>
      </w:r>
      <w:r>
        <w:rPr>
          <w:sz w:val="19"/>
        </w:rPr>
        <w:t>Norwegen, Nordeuropa – vergleichbares Gesundheitssystem, ähnliche Versorgungsstruktur</w:t>
      </w:r>
    </w:p>
    <w:p>
      <w:r>
        <w:rPr>
          <w:color w:val="5A7D3A"/>
          <w:sz w:val="18"/>
        </w:rPr>
        <w:t>https://pubmed.ncbi.nlm.nih.gov/42675013/</w:t>
      </w:r>
    </w:p>
    <w:p>
      <w:pPr>
        <w:pStyle w:val="Heading2"/>
      </w:pPr>
      <w:r>
        <w:t>Adipositas-Gewichtsmanagement-Programme für Nierentransplantations-Kandidaten: Barrieren und Akzeptanz</w:t>
      </w:r>
    </w:p>
    <w:p>
      <w:r>
        <w:rPr>
          <w:i/>
          <w:color w:val="666666"/>
          <w:sz w:val="18"/>
        </w:rPr>
        <w:t>Lavenburg LM et al.  ·  Clin Transplant  ·  Sept. 2026  ·  PMID 42665576</w:t>
      </w:r>
    </w:p>
    <w:p>
      <w:r>
        <w:t>Monozentrische US-Studie zur Identifikation von Faktoren für Annahme und Inanspruchnahme von Gewichtsmanagement-Programmen bei 59 Nierentransplantations-Kandidaten mit Adipositas.</w:t>
      </w:r>
    </w:p>
    <w:p>
      <w:r>
        <w:rPr>
          <w:b/>
        </w:rPr>
        <w:t xml:space="preserve">Ergebnis: </w:t>
      </w:r>
      <w:r>
        <w:t>50,8 % (30/59) akzeptierten das Überweisungsangebot, aber nur 15,3 % (9/59) nahmen tatsächlich Kontakt auf. Höherer BMI (Median 47 vs. 45; p=0,002) und nähere Entfernung zur Transplantationsklinik (20 vs. 48 Meilen; p=0,010) erhöhten Akzeptanz. Multivariable Modelle: jede Meile Distanz reduzierte Akzeptanz um 2 % (OR 0,98; 95%-KI 0,96–1,00); jede BMI-Einheit erhöhte sie um 22 % (OR 1,22; 95%-KI 1,03–1,45).</w:t>
      </w:r>
    </w:p>
    <w:p>
      <w:r>
        <w:rPr>
          <w:b/>
          <w:sz w:val="19"/>
        </w:rPr>
        <w:t xml:space="preserve">Übertragbarkeit: </w:t>
      </w:r>
      <w:r>
        <w:rPr>
          <w:sz w:val="19"/>
        </w:rPr>
        <w:t>USA, eingeschränkt – Struktur und Kostenübernahme unterscheiden sich von deutschem System</w:t>
      </w:r>
    </w:p>
    <w:p>
      <w:r>
        <w:rPr>
          <w:color w:val="5A7D3A"/>
          <w:sz w:val="18"/>
        </w:rPr>
        <w:t>https://pubmed.ncbi.nlm.nih.gov/42665576/</w:t>
      </w:r>
    </w:p>
    <w:p>
      <w:pPr>
        <w:pStyle w:val="Heading2"/>
      </w:pPr>
      <w:r>
        <w:t>Depression bei schwangeren Frauen nach bariatrischer Chirurgie in VAE: Sleeve häufiger betroffen als Bypass</w:t>
      </w:r>
    </w:p>
    <w:p>
      <w:r>
        <w:rPr>
          <w:i/>
          <w:color w:val="666666"/>
          <w:sz w:val="18"/>
        </w:rPr>
        <w:t>Al Mansoori A et al.  ·  Womens Health (Lond)  ·  28.08.2026  ·  PMID 42664494</w:t>
      </w:r>
    </w:p>
    <w:p>
      <w:r>
        <w:t>Deskriptive Querschnittsstudie mit 41 schwangeren Frauen mit Anamnese bariatrischer Chirurgie in Abu Dhabi zur Prävalenz und Assoziationen perinatalaler Depression.</w:t>
      </w:r>
    </w:p>
    <w:p>
      <w:r>
        <w:rPr>
          <w:b/>
        </w:rPr>
        <w:t xml:space="preserve">Ergebnis: </w:t>
      </w:r>
      <w:r>
        <w:t>Depression bei 46,3 % der Teilnehmerinnen (Edinburgh Postnatal Depression Scale); 2,7 % schwere Depression. Sleeve-Gastrektomie-Gruppe zeigte höhere EPDS-Scores als Roux-en-Y-Bypass-Gruppe (U=220.000, p=0,015). Keine signifikanten Unterschiede nach Alter, Menopausenstatus oder soziodemografischen Merkmalen. Kleine Stichprobe, aber Befunde deuten auf erhöhtes Depressionsrisiko nach Sleeve.</w:t>
      </w:r>
    </w:p>
    <w:p>
      <w:r>
        <w:rPr>
          <w:b/>
          <w:sz w:val="19"/>
        </w:rPr>
        <w:t xml:space="preserve">Übertragbarkeit: </w:t>
      </w:r>
      <w:r>
        <w:rPr>
          <w:sz w:val="19"/>
        </w:rPr>
        <w:t>VAE, Mittlerer Osten – begrenzt vergleichbar, andere Versorgungsstrukturen</w:t>
      </w:r>
    </w:p>
    <w:p>
      <w:r>
        <w:rPr>
          <w:color w:val="5A7D3A"/>
          <w:sz w:val="18"/>
        </w:rPr>
        <w:t>https://pubmed.ncbi.nlm.nih.gov/42664494/</w:t>
      </w:r>
    </w:p>
    <w:p>
      <w:pPr>
        <w:pStyle w:val="Heading2"/>
      </w:pPr>
      <w:r>
        <w:t>Transkutane Vagusnervstimulation gegen Adipositas-assoziierte Entzündung: Studienprotokoll</w:t>
      </w:r>
    </w:p>
    <w:p>
      <w:r>
        <w:rPr>
          <w:i/>
          <w:color w:val="666666"/>
          <w:sz w:val="18"/>
        </w:rPr>
        <w:t>Kaluza L et al.  ·  BMC Psychol  ·  04.08.2026  ·  PMID 42552546</w:t>
      </w:r>
    </w:p>
    <w:p>
      <w:r>
        <w:t>Deutsches Studienprotokoll einer randomisierten, sham-kontrollierten Crossover-Studie zu tVNS bei Adipositas (BMI 27–35 kg/m²) zur Reduktion chronischer niedriger Entzündungsmarker.</w:t>
      </w:r>
    </w:p>
    <w:p>
      <w:r>
        <w:rPr>
          <w:b/>
        </w:rPr>
        <w:t xml:space="preserve">Ergebnis: </w:t>
      </w:r>
      <w:r>
        <w:t>Geplante Studie mit N=60 Teilnehmern; 14-Tage-Phasen mit hochintensiver vs. niedriger tVNS (≥30 min täglich). Primär: periphere und zentrale Entzündungsmarker sowie Motivation und Stimmung mit gemischten neurologischen und immunologischen Messungen. Multiples Outcome-Profil geplant (noch keine Ergebnisse).</w:t>
      </w:r>
    </w:p>
    <w:p>
      <w:r>
        <w:rPr>
          <w:b/>
          <w:sz w:val="19"/>
        </w:rPr>
        <w:t xml:space="preserve">Übertragbarkeit: </w:t>
      </w:r>
      <w:r>
        <w:rPr>
          <w:sz w:val="19"/>
        </w:rPr>
        <w:t>Deutsche Klinik, direkt übertragbar auf deutsches Gesundheitssystem</w:t>
      </w:r>
    </w:p>
    <w:p>
      <w:r>
        <w:rPr>
          <w:color w:val="5A7D3A"/>
          <w:sz w:val="18"/>
        </w:rPr>
        <w:t>https://pubmed.ncbi.nlm.nih.gov/42552546/</w:t>
      </w:r>
    </w:p>
    <w:p>
      <w:pPr>
        <w:pStyle w:val="Heading2"/>
      </w:pPr>
      <w:r>
        <w:t>Sozioökonomische Gradienten und Adipositas bei Älteren in Kasachstan: reverses Muster in früher Nutrition-Transition</w:t>
      </w:r>
    </w:p>
    <w:p>
      <w:r>
        <w:rPr>
          <w:i/>
          <w:color w:val="666666"/>
          <w:sz w:val="18"/>
        </w:rPr>
        <w:t>Zhumadilova A et al.  ·  Front Public Health  ·  10.07.2026  ·  PMID 42500011</w:t>
      </w:r>
    </w:p>
    <w:p>
      <w:r>
        <w:t>Querschnittsstudie mit 977 älteren Erwachsenen (50–74 Jahre) aus urban und rural gelegenen Gebieten der Astana-Region zur Prävalenz und sozioökonomischen Korrelaten von Übergewicht und Adipositas.</w:t>
      </w:r>
    </w:p>
    <w:p>
      <w:r>
        <w:rPr>
          <w:b/>
        </w:rPr>
        <w:t xml:space="preserve">Ergebnis: </w:t>
      </w:r>
      <w:r>
        <w:t>Gesamtprävalenz: 37 % übergewichtig, 44 % adipös, 72 % zentrale Adipositas. Reverses Muster (unerwartetes Ergebnis für ein Low-Income-Setting): höhere Vermögensausstattung assoziiert mit Übergewicht/Adipositas (Trend p=0,038 und p=0,002). Höhere Schulbildung protektiv; zentrale Adipositas stark mit Diabetes, Hypertonie, Hypercholesterinämie assoziiert (alle konsistent über Modelle). Ländlicher Raum protektiv gegen zentrale Adipositas (OR 0,43; 95%-KI 0,30–0,64).</w:t>
      </w:r>
    </w:p>
    <w:p>
      <w:r>
        <w:rPr>
          <w:b/>
          <w:sz w:val="19"/>
        </w:rPr>
        <w:t xml:space="preserve">Übertragbarkeit: </w:t>
      </w:r>
      <w:r>
        <w:rPr>
          <w:sz w:val="19"/>
        </w:rPr>
        <w:t>Kasachstan, Transitionsland – begrenzt vergleichbar, zeigt andere sozioökonomische Muster als wohlhabende Länder</w:t>
      </w:r>
    </w:p>
    <w:p>
      <w:r>
        <w:rPr>
          <w:color w:val="5A7D3A"/>
          <w:sz w:val="18"/>
        </w:rPr>
        <w:t>https://pubmed.ncbi.nlm.nih.gov/42500011/</w:t>
      </w:r>
    </w:p>
    <w:p>
      <w:pPr>
        <w:pStyle w:val="Heading2"/>
      </w:pPr>
      <w:r>
        <w:t>Adipositas bei Ösophagektomie: kein erhöhtes Operationsrisiko, aber mehr Thromboembolien</w:t>
      </w:r>
    </w:p>
    <w:p>
      <w:r>
        <w:rPr>
          <w:i/>
          <w:color w:val="666666"/>
          <w:sz w:val="18"/>
        </w:rPr>
        <w:t>Skogar ML et al.  ·  Scand J Surg  ·  20.07.2026  ·  PMID 42473743</w:t>
      </w:r>
    </w:p>
    <w:p>
      <w:r>
        <w:t>Schwedische Kohortenstudie mit Daten von 1.494 Ösophagektomie-Patienten (2006–2018) zum Zusammenhang zwischen BMI und perioperativen sowie langfristigen Ergebnissen.</w:t>
      </w:r>
    </w:p>
    <w:p>
      <w:r>
        <w:rPr>
          <w:b/>
        </w:rPr>
        <w:t xml:space="preserve">Ergebnis: </w:t>
      </w:r>
      <w:r>
        <w:t>Von 227 Patienten (15,2 %) mit Adipositas zeigten sich keine erhöhten chirurgischen Komplikationen (OR 0,92; 95%-KI 0,62–1,39), aber erhöhtes Risiko für nicht-chirurgische Komplikationen wie Lungenembolie (OR 1,64; 95%-KI 1,10–2,45). Adipositas war mit verbesserter Langzeitüberlebensrate assoziiert (HR 0,75; 95%-KI 0,57–0,98), möglicherweise durch reverse causation durch prä-diagnostischen Gewichtsverlust verzerrt.</w:t>
      </w:r>
    </w:p>
    <w:p>
      <w:r>
        <w:rPr>
          <w:b/>
          <w:sz w:val="19"/>
        </w:rPr>
        <w:t xml:space="preserve">Übertragbarkeit: </w:t>
      </w:r>
      <w:r>
        <w:rPr>
          <w:sz w:val="19"/>
        </w:rPr>
        <w:t>Skandinavische nationale Registerdaten, vergleichbare Kliniken-Infrastruktur mit Deutschland</w:t>
      </w:r>
    </w:p>
    <w:p>
      <w:r>
        <w:rPr>
          <w:color w:val="5A7D3A"/>
          <w:sz w:val="18"/>
        </w:rPr>
        <w:t>https://pubmed.ncbi.nlm.nih.gov/42473743/</w:t>
      </w:r>
    </w:p>
    <w:p>
      <w:pPr>
        <w:pStyle w:val="Heading1"/>
      </w:pPr>
      <w:r>
        <w:t>Aufgenommen am 31.08.2026</w:t>
      </w:r>
    </w:p>
    <w:p>
      <w:pPr>
        <w:pStyle w:val="Heading2"/>
      </w:pPr>
      <w:r>
        <w:t>Schulische Diät- und Bewegungsinterventionen in Afrika zeigen klinisch geringe Effekte auf BMI</w:t>
      </w:r>
    </w:p>
    <w:p>
      <w:r>
        <w:rPr>
          <w:i/>
          <w:color w:val="666666"/>
          <w:sz w:val="18"/>
        </w:rPr>
        <w:t>Onyeonu BA et al.  ·  BMC Public Health  ·  29.08.2026  ·  PMID 42668382</w:t>
      </w:r>
    </w:p>
    <w:p>
      <w:r>
        <w:t>Systematische Übersicht und Metaanalyse von 11 Studien (9 Interventionsprogramme) zu schulgestützten Diät- und Bewegungsprogrammen bei afrikanischen Kindern und Jugendlichen.</w:t>
      </w:r>
    </w:p>
    <w:p>
      <w:r>
        <w:rPr>
          <w:b/>
        </w:rPr>
        <w:t xml:space="preserve">Ergebnis: </w:t>
      </w:r>
      <w:r>
        <w:t>Überwiegend quasiexperimentelle oder Cluster-RCT-Designs (70 %), meist Grundschulalter. Einzelne Studien zeigten bescheidene Verbesserungen bei erhöhter Adipositas, aber Metaanalyse von 9 Vergleichen zeigte nicht-signifikanten Effekt auf BMI-für-Alter (MD 0,03; 95%-KI –0,24 bis 0,29; p=0,813; I²=69,0%). Kombinierte Ernährungs- und Bewegungsinterventionen zeigten reduktionen bei wenigen Vergleichen.</w:t>
      </w:r>
    </w:p>
    <w:p>
      <w:r>
        <w:rPr>
          <w:b/>
          <w:sz w:val="19"/>
        </w:rPr>
        <w:t xml:space="preserve">Übertragbarkeit: </w:t>
      </w:r>
      <w:r>
        <w:rPr>
          <w:sz w:val="19"/>
        </w:rPr>
        <w:t>Afrika, eingeschränkte Evidenzqualität, Übertragbarkeit limitiert</w:t>
      </w:r>
    </w:p>
    <w:p>
      <w:r>
        <w:rPr>
          <w:color w:val="5A7D3A"/>
          <w:sz w:val="18"/>
        </w:rPr>
        <w:t>https://pubmed.ncbi.nlm.nih.gov/42668382/</w:t>
      </w:r>
    </w:p>
    <w:p>
      <w:pPr>
        <w:pStyle w:val="Heading2"/>
      </w:pPr>
      <w:r>
        <w:t>Mikrobiom-Profile vorhersagen Gewichtsverlust nach strukturiertem Lebensstiländerungsprogramm</w:t>
      </w:r>
    </w:p>
    <w:p>
      <w:r>
        <w:rPr>
          <w:i/>
          <w:color w:val="666666"/>
          <w:sz w:val="18"/>
        </w:rPr>
        <w:t>Seethaler B et al.  ·  Microbiome  ·  28.08.2026  ·  PMID 42668355</w:t>
      </w:r>
    </w:p>
    <w:p>
      <w:r>
        <w:t>Eine 50 übergewichtige Erwachsene (BMI 42 ± 7,0) durchliefen ein einjähriges strukturiertes Lebensstiländerungsprogramm mit Mikrobiom- und Metabolomanalyse, um Prädiktoren für Gewichtsverlust und metabolische Verbesserung zu identifizieren.</w:t>
      </w:r>
    </w:p>
    <w:p>
      <w:r>
        <w:rPr>
          <w:b/>
        </w:rPr>
        <w:t xml:space="preserve">Ergebnis: </w:t>
      </w:r>
      <w:r>
        <w:t>Nach Intervention zeigten sich deutliche Reduktionen von Körpergewicht, Körperfettanteil, C-reaktivem Protein und HbA1c. Ein zufälliger Wald-Algorithmus mit Baseline-Mikrobiota- und klinischen Merkmalen sagte Gewichtsverlust und klinische Verbesserungen mit hoher Genauigkeit voraus. Das Metabolit Diacylphosphatidylcholin C40:1 könnte als Biomarker für Gewichtsverlusterfolg dienen.</w:t>
      </w:r>
    </w:p>
    <w:p>
      <w:r>
        <w:rPr>
          <w:b/>
          <w:sz w:val="19"/>
        </w:rPr>
        <w:t xml:space="preserve">Übertragbarkeit: </w:t>
      </w:r>
      <w:r>
        <w:rPr>
          <w:sz w:val="19"/>
        </w:rPr>
        <w:t>Deutschland, vergleichbare Klinikinfrastruktur und Dokumentation</w:t>
      </w:r>
    </w:p>
    <w:p>
      <w:r>
        <w:rPr>
          <w:color w:val="5A7D3A"/>
          <w:sz w:val="18"/>
        </w:rPr>
        <w:t>https://pubmed.ncbi.nlm.nih.gov/42668355/</w:t>
      </w:r>
    </w:p>
    <w:p>
      <w:pPr>
        <w:pStyle w:val="Heading2"/>
      </w:pPr>
      <w:r>
        <w:t>Körperzusammensetzung nach Schlauchmagen zeigt Muskelabbau trotz Gewichtsverlust</w:t>
      </w:r>
    </w:p>
    <w:p>
      <w:r>
        <w:rPr>
          <w:i/>
          <w:color w:val="666666"/>
          <w:sz w:val="18"/>
        </w:rPr>
        <w:t>Lippmann L et al.  ·  Langenbecks Arch Surg  ·  29.08.2026  ·  PMID 42667413</w:t>
      </w:r>
    </w:p>
    <w:p>
      <w:r>
        <w:t>49 Patienten mit Adipositas Grad III nach laparoskopischer Schlauchmagen wurden über 24 Monate mit Bioelektrischer-Impedanz-Analyse zur Erfassung von Körperzusammensetzungsveränderungen verfolgt.</w:t>
      </w:r>
    </w:p>
    <w:p>
      <w:r>
        <w:rPr>
          <w:b/>
        </w:rPr>
        <w:t xml:space="preserve">Ergebnis: </w:t>
      </w:r>
      <w:r>
        <w:t>Deutliche Reduktionen von Körpergewicht, Fettmasse und viszeralem Fettgewebe; jedoch auch signifikante Abnahmen von fettfreier Masse und Skelettmuskulatur. Phasenwinkeln zeigten transiente Veränderungen. Größte Veränderungen im ersten postoperativen Jahr, danach Stabilisierung. Untersucht wurden nur 49 Patienten an einem Zentrum.</w:t>
      </w:r>
    </w:p>
    <w:p>
      <w:r>
        <w:rPr>
          <w:b/>
          <w:sz w:val="19"/>
        </w:rPr>
        <w:t xml:space="preserve">Übertragbarkeit: </w:t>
      </w:r>
      <w:r>
        <w:rPr>
          <w:sz w:val="19"/>
        </w:rPr>
        <w:t>Deutschland, bariatrisches Zentrum, Operationstechnik übertragbar</w:t>
      </w:r>
    </w:p>
    <w:p>
      <w:r>
        <w:rPr>
          <w:color w:val="5A7D3A"/>
          <w:sz w:val="18"/>
        </w:rPr>
        <w:t>https://pubmed.ncbi.nlm.nih.gov/42667413/</w:t>
      </w:r>
    </w:p>
    <w:p>
      <w:pPr>
        <w:pStyle w:val="Heading2"/>
      </w:pPr>
      <w:r>
        <w:t>Taillenumfang und relative Fettmasse übertreffen BMI bei Diabetesrisikoerkennung</w:t>
      </w:r>
    </w:p>
    <w:p>
      <w:r>
        <w:rPr>
          <w:i/>
          <w:color w:val="666666"/>
          <w:sz w:val="18"/>
        </w:rPr>
        <w:t>Seiglie JA et al.  ·  Diabetes Care  ·  01.09.2026  ·  PMID 42623543</w:t>
      </w:r>
    </w:p>
    <w:p>
      <w:r>
        <w:t>Daten von 598.883 Erwachsenen aus 82 Ländern mit niedrigem und mittlerem Einkommen wurden analysiert, um Anthropometrie-Maße zur Diabetesklassifikation zu vergleichen.</w:t>
      </w:r>
    </w:p>
    <w:p>
      <w:r>
        <w:rPr>
          <w:b/>
        </w:rPr>
        <w:t xml:space="preserve">Ergebnis: </w:t>
      </w:r>
      <w:r>
        <w:t>Taillennumfang und relative Fettmasse hatten höhere AUC-Werte als BMI zur Diabetesklassifikation: Männer (WC 0,69, RFM 0,69 vs. BMI 0,64), Frauen (WC 0,69, RFM 0,69 vs. BMI 0,63). Unterschiede zeigten sich besonders in Zwischengewicht-Kategorien (BMI 18,5–29,9).</w:t>
      </w:r>
    </w:p>
    <w:p>
      <w:r>
        <w:rPr>
          <w:b/>
          <w:sz w:val="19"/>
        </w:rPr>
        <w:t xml:space="preserve">Übertragbarkeit: </w:t>
      </w:r>
      <w:r>
        <w:rPr>
          <w:sz w:val="19"/>
        </w:rPr>
        <w:t>82 Länder mit Gesundheitsumfrage-Daten, methodisch robust</w:t>
      </w:r>
    </w:p>
    <w:p>
      <w:r>
        <w:rPr>
          <w:color w:val="5A7D3A"/>
          <w:sz w:val="18"/>
        </w:rPr>
        <w:t>https://pubmed.ncbi.nlm.nih.gov/42623543/</w:t>
      </w:r>
    </w:p>
    <w:p>
      <w:pPr>
        <w:pStyle w:val="Heading2"/>
      </w:pPr>
      <w:r>
        <w:t>Metabolisches Syndrom erhöht Sterblichkeit bei Brustkrebsüberlebenden um 23 %</w:t>
      </w:r>
    </w:p>
    <w:p>
      <w:r>
        <w:rPr>
          <w:i/>
          <w:color w:val="666666"/>
          <w:sz w:val="18"/>
        </w:rPr>
        <w:t>Zhang T et al.  ·  Front Endocrinol (Lausanne)  ·  03.08.2026  ·  PMID 42609325</w:t>
      </w:r>
    </w:p>
    <w:p>
      <w:r>
        <w:t>6027 Brustkrebsüberlebende aus der UK Biobank wurden im Median 15,7 Jahre verfolgt, um die Assoziation des metabolischen Syndroms mit Sterblichkeit und Folgeerkrankungen zu untersuchen.</w:t>
      </w:r>
    </w:p>
    <w:p>
      <w:r>
        <w:rPr>
          <w:b/>
        </w:rPr>
        <w:t xml:space="preserve">Ergebnis: </w:t>
      </w:r>
      <w:r>
        <w:t>1251 Todesfälle beobachtet; 33,1 % hatten metabolisches Syndrom (MetS). MetS assoziiert mit erhöhter Gesamtsterblichkeit (HR 1,23; 95%-KI 1,08–1,41; p=0,002) und erhöhtem Risiko für Myokardinfarkt (HR 1,56), Vorhofflimmern (HR 1,61) und chronische Nierenkrankheit (HR 1,98).</w:t>
      </w:r>
    </w:p>
    <w:p>
      <w:r>
        <w:rPr>
          <w:b/>
          <w:sz w:val="19"/>
        </w:rPr>
        <w:t xml:space="preserve">Übertragbarkeit: </w:t>
      </w:r>
      <w:r>
        <w:rPr>
          <w:sz w:val="19"/>
        </w:rPr>
        <w:t>UK-Daten, aber Sterblichkeitsbefunde auf europäische Systeme übertragbar</w:t>
      </w:r>
    </w:p>
    <w:p>
      <w:r>
        <w:rPr>
          <w:color w:val="5A7D3A"/>
          <w:sz w:val="18"/>
        </w:rPr>
        <w:t>https://pubmed.ncbi.nlm.nih.gov/42609325/</w:t>
      </w:r>
    </w:p>
    <w:p>
      <w:pPr>
        <w:pStyle w:val="Heading2"/>
      </w:pPr>
      <w:r>
        <w:t>Adipositas-Management in Frankreich: GLP-1-Agonisten zeigen über 10% Gewichtsverlust, aber Adhärenzprobleme in der Realität</w:t>
      </w:r>
    </w:p>
    <w:p>
      <w:r>
        <w:rPr>
          <w:i/>
          <w:color w:val="666666"/>
          <w:sz w:val="18"/>
        </w:rPr>
        <w:t>Montastier E  ·  Biol Aujourdhui  ·  31.07.2026  ·  PMID 42536829</w:t>
      </w:r>
    </w:p>
    <w:p>
      <w:r>
        <w:t>Expertenübersicht zur Adipositasbehandlung mit französischen HAS-Empfehlungen (2022, 2024) zur gestuften Versorgung und Rolle von GLP-1-/GLP-1/GIP-Rezeptoragonisten.</w:t>
      </w:r>
    </w:p>
    <w:p>
      <w:r>
        <w:rPr>
          <w:b/>
        </w:rPr>
        <w:t xml:space="preserve">Ergebnis: </w:t>
      </w:r>
      <w:r>
        <w:t>Inkretin-Agonisten (GLP-1, GLP-1/GIP) erreichen durchschnittlich über 10% Gewichtsverlust und signifikante metabolische Verbesserungen. Begrenzte Anwendung durch häufige gastrointestinale Nebenwirkungen, Wiederzunahmerisiko nach Absetzen, Mikronährstoffmängel, Muskel-/Knochenverlust, hohe Kosten und häufig schlechte Adhärenz im realen Kontext. Müssen in umfassende nachhaltige Versorgung integriert werden.</w:t>
      </w:r>
    </w:p>
    <w:p>
      <w:r>
        <w:rPr>
          <w:b/>
          <w:sz w:val="19"/>
        </w:rPr>
        <w:t xml:space="preserve">Übertragbarkeit: </w:t>
      </w:r>
      <w:r>
        <w:rPr>
          <w:sz w:val="19"/>
        </w:rPr>
        <w:t>Frankreich, vergleichbares Sozialversicherungssystem, HAS-Empfehlungen</w:t>
      </w:r>
    </w:p>
    <w:p>
      <w:r>
        <w:rPr>
          <w:color w:val="5A7D3A"/>
          <w:sz w:val="18"/>
        </w:rPr>
        <w:t>https://pubmed.ncbi.nlm.nih.gov/42536829/</w:t>
      </w:r>
    </w:p>
    <w:p>
      <w:pPr>
        <w:pStyle w:val="Heading1"/>
      </w:pPr>
      <w:r>
        <w:t>Aufgenommen am 30.08.2026</w:t>
      </w:r>
    </w:p>
    <w:p>
      <w:pPr>
        <w:pStyle w:val="Heading2"/>
      </w:pPr>
      <w:r>
        <w:t>GLP-1-Rezeptor-Agonisten senken Parkinson-Risiko bei Typ-2-Diabetes um 32% – aber Kausalität unklar</w:t>
      </w:r>
    </w:p>
    <w:p>
      <w:r>
        <w:rPr>
          <w:i/>
          <w:color w:val="666666"/>
          <w:sz w:val="18"/>
        </w:rPr>
        <w:t>Chen Y et al.  ·  Front Endocrinol (Lausanne)  ·  13.08.2026  ·  PMID 42661791</w:t>
      </w:r>
    </w:p>
    <w:p>
      <w:r>
        <w:t>Systematische Übersicht und Metaanalyse von 6 Kohortenstudien (insges. 452.763 Teilnehmer) zur Assoziation GLP-1RA-Exposition und Parkinson-Erkrankungsrisiko.</w:t>
      </w:r>
    </w:p>
    <w:p>
      <w:r>
        <w:rPr>
          <w:b/>
        </w:rPr>
        <w:t xml:space="preserve">Ergebnis: </w:t>
      </w:r>
      <w:r>
        <w:t>GLP-1RA mit Parkinson-Risiko-Reduktion assoziiert (HR 0,68, 95%-KI 0,54–0,85, p=0,001). Subgruppenanalysen zeigen HR 0,60 vs. DPP-4-Inhibitoren, HR 0,83 vs. Metformin. Autoren betonen: observationales Design, Confounding, hypothesengenerierend, keine Kausalität bewiesen.</w:t>
      </w:r>
    </w:p>
    <w:p>
      <w:r>
        <w:rPr>
          <w:b/>
          <w:sz w:val="19"/>
        </w:rPr>
        <w:t xml:space="preserve">Übertragbarkeit: </w:t>
      </w:r>
      <w:r>
        <w:rPr>
          <w:sz w:val="19"/>
        </w:rPr>
        <w:t>Großbritannien, Kanada, Skandinavien; Kostenübernahme GLP-1 in Deutschland ausgeschlossen – akademisch interessant, praktisch nicht relevant.</w:t>
      </w:r>
    </w:p>
    <w:p>
      <w:r>
        <w:rPr>
          <w:color w:val="5A7D3A"/>
          <w:sz w:val="18"/>
        </w:rPr>
        <w:t>https://pubmed.ncbi.nlm.nih.gov/42661791/</w:t>
      </w:r>
    </w:p>
    <w:p>
      <w:pPr>
        <w:pStyle w:val="Heading2"/>
      </w:pPr>
      <w:r>
        <w:t>Adipositas, Typ-2-Diabetes und IGF-1-Signalweg kausal mit Karpaltunnelsyndrom verknüpft</w:t>
      </w:r>
    </w:p>
    <w:p>
      <w:r>
        <w:rPr>
          <w:i/>
          <w:color w:val="666666"/>
          <w:sz w:val="18"/>
        </w:rPr>
        <w:t>Wood AJ et al.  ·  Int J Epidemiol  ·  18.08.2026  ·  PMID 42658720</w:t>
      </w:r>
    </w:p>
    <w:p>
      <w:r>
        <w:t>Mendelian-Randomization-Studie zu genetischen Instrumenten für BMI, Typ-2-Diabetes, IGF-1 und Karpaltunnelsyndrom-Risiko.</w:t>
      </w:r>
    </w:p>
    <w:p>
      <w:r>
        <w:rPr>
          <w:b/>
        </w:rPr>
        <w:t xml:space="preserve">Ergebnis: </w:t>
      </w:r>
      <w:r>
        <w:t>BMI (WHR, WC) kausal für CTS; Effekt durch Typ-2-Diabetes teilweise vermittelt. IGF-1-Signalweg auch unabhängig assoziiert. Befunde stützen therapeutisches Potenzial der Metabolit-Modulation jenseits von Gewichtsverlust.</w:t>
      </w:r>
    </w:p>
    <w:p>
      <w:r>
        <w:rPr>
          <w:b/>
          <w:sz w:val="19"/>
        </w:rPr>
        <w:t xml:space="preserve">Übertragbarkeit: </w:t>
      </w:r>
      <w:r>
        <w:rPr>
          <w:sz w:val="19"/>
        </w:rPr>
        <w:t>UK-Biobank-Genetikdaten, bevölkerungsweit; pathophysiologisch-universell, aber Therapie-Implikationen noch spekulativ.</w:t>
      </w:r>
    </w:p>
    <w:p>
      <w:r>
        <w:rPr>
          <w:color w:val="5A7D3A"/>
          <w:sz w:val="18"/>
        </w:rPr>
        <w:t>https://pubmed.ncbi.nlm.nih.gov/42658720/</w:t>
      </w:r>
    </w:p>
    <w:p>
      <w:pPr>
        <w:pStyle w:val="Heading2"/>
      </w:pPr>
      <w:r>
        <w:t>Zenagamtide verbesserte HbA1c, aber Nebenwirkungen limitieren Einsatz in Praxis</w:t>
      </w:r>
    </w:p>
    <w:p>
      <w:r>
        <w:rPr>
          <w:i/>
          <w:color w:val="666666"/>
          <w:sz w:val="18"/>
        </w:rPr>
        <w:t>Mora P et al.  ·  Lancet  ·  15.08.2026  ·  PMID 42532079</w:t>
      </w:r>
    </w:p>
    <w:p>
      <w:r>
        <w:t>Phase-2-Studie zu oralem Zenagamtide (GLP-1/Amylin-Agonist) bei 186 Patienten mit Typ-2-Diabetes über 36 Wochen.</w:t>
      </w:r>
    </w:p>
    <w:p>
      <w:r>
        <w:rPr>
          <w:b/>
        </w:rPr>
        <w:t xml:space="preserve">Ergebnis: </w:t>
      </w:r>
      <w:r>
        <w:t>HbA1c-Senkung um 0,9–1,4% je nach Dosis; gastrointestinale Nebenwirkungen bei 26–47% (vs. 23% Placebo); 7 ernsthafte Unerwünschte Ereignisse unter Zenagamtide, keine unter Placebo. Die hohe Nebenwirkungsrate und Phase-2-Design sprechen gegen Übernahme in Versorgungsroutinen.</w:t>
      </w:r>
    </w:p>
    <w:p>
      <w:r>
        <w:rPr>
          <w:b/>
          <w:sz w:val="19"/>
        </w:rPr>
        <w:t xml:space="preserve">Übertragbarkeit: </w:t>
      </w:r>
      <w:r>
        <w:rPr>
          <w:sz w:val="19"/>
        </w:rPr>
        <w:t>USA-Studie, internationale Zentren; Kostenübernahme in Deutschland unwahrscheinlich (§34 SGB V).</w:t>
      </w:r>
    </w:p>
    <w:p>
      <w:r>
        <w:rPr>
          <w:color w:val="5A7D3A"/>
          <w:sz w:val="18"/>
        </w:rPr>
        <w:t>https://pubmed.ncbi.nlm.nih.gov/42532079/</w:t>
      </w:r>
    </w:p>
    <w:p>
      <w:pPr>
        <w:pStyle w:val="Heading2"/>
      </w:pPr>
      <w:r>
        <w:t>Adipositas mit Typ-2-Diabetes: CKD und Herzinsuffizienz-Risiko trotz niedrigerer Herz-Infarkt-Raten</w:t>
      </w:r>
    </w:p>
    <w:p>
      <w:r>
        <w:rPr>
          <w:i/>
          <w:color w:val="666666"/>
          <w:sz w:val="18"/>
        </w:rPr>
        <w:t>Ponzani P et al.  ·  Diabetes Res Clin Pract  ·  29.07.2026  ·  PMID 42526840</w:t>
      </w:r>
    </w:p>
    <w:p>
      <w:r>
        <w:t>Reale Daten von 519.005 Italienern mit Typ-2-Diabetes in 296 Zentren 2023 zur Assoziation von BMI-Kategorien mit Folgeerkrankungen.</w:t>
      </w:r>
    </w:p>
    <w:p>
      <w:r>
        <w:rPr>
          <w:b/>
        </w:rPr>
        <w:t xml:space="preserve">Ergebnis: </w:t>
      </w:r>
      <w:r>
        <w:t>Adipositas (35,4% der Kohorte) mit niedriger Rohprävalenz kardiovaskulärer Komplikationen, aber nach Anpassung assoziiert mit CKD (PR 1,13) und Herzinsuffizienz (PR 1,41). Atherotische Ereignisse schwächer. Paradoxe erklärt durch Confounding (jüngeres Alter, kürzere Diabetesdauer).</w:t>
      </w:r>
    </w:p>
    <w:p>
      <w:r>
        <w:rPr>
          <w:b/>
          <w:sz w:val="19"/>
        </w:rPr>
        <w:t xml:space="preserve">Übertragbarkeit: </w:t>
      </w:r>
      <w:r>
        <w:rPr>
          <w:sz w:val="19"/>
        </w:rPr>
        <w:t>Italienische Routinedaten von spezialisiertem Diabetes-Versorgungsnetz; hochgradig auf deutsches System übertragbar.</w:t>
      </w:r>
    </w:p>
    <w:p>
      <w:r>
        <w:rPr>
          <w:color w:val="5A7D3A"/>
          <w:sz w:val="18"/>
        </w:rPr>
        <w:t>https://pubmed.ncbi.nlm.nih.gov/42526840/</w:t>
      </w:r>
    </w:p>
    <w:p>
      <w:pPr>
        <w:pStyle w:val="Heading2"/>
      </w:pPr>
      <w:r>
        <w:t>Semaglutide nach Gestationsdiabetes: Belgische RCT zur Typ-2-Prävention in Postpartum-Prä-Diabetes</w:t>
      </w:r>
    </w:p>
    <w:p>
      <w:r>
        <w:rPr>
          <w:i/>
          <w:color w:val="666666"/>
          <w:sz w:val="18"/>
        </w:rPr>
        <w:t>Vanlaer Y et al.  ·  BMJ Open  ·  23.07.2026  ·  PMID 42493207</w:t>
      </w:r>
    </w:p>
    <w:p>
      <w:r>
        <w:t>Protokoll der SERENA-RCT: Belgische Multicenterstudie mit 252 Frauen nach GDM und postpartum-Prä-Diabetes, randomisiert 1:1 zu Semaglutide 1mg/Woche oder Placebo plus Lebensstiländerung über 160 Wochen, Kosteneffektivität co-primär.</w:t>
      </w:r>
    </w:p>
    <w:p>
      <w:r>
        <w:rPr>
          <w:b/>
        </w:rPr>
        <w:t xml:space="preserve">Ergebnis: </w:t>
      </w:r>
      <w:r>
        <w:t>Protokoll registriert (NCT05569772), Rekrutung seit 9/2023 laufend. Primäres Outcome: Typ-2-Diabetes-Entwicklung nach ADA-Kriterien. Sekundär: Gewichtsverlust, Insulinsensitivität, Patientenergebnisse, Kosteneffektivität stratifiziert nach BMI (&lt;25, 25–29,9, ≥30).</w:t>
      </w:r>
    </w:p>
    <w:p>
      <w:r>
        <w:rPr>
          <w:b/>
          <w:sz w:val="19"/>
        </w:rPr>
        <w:t xml:space="preserve">Übertragbarkeit: </w:t>
      </w:r>
      <w:r>
        <w:rPr>
          <w:sz w:val="19"/>
        </w:rPr>
        <w:t>Belgien, GKV-ähnlich; Gesamtergebnis abzuwarten – Design sehr relevant für deutsche Prä-Diabetes-Prävention.</w:t>
      </w:r>
    </w:p>
    <w:p>
      <w:r>
        <w:rPr>
          <w:color w:val="5A7D3A"/>
          <w:sz w:val="18"/>
        </w:rPr>
        <w:t>https://pubmed.ncbi.nlm.nih.gov/42493207/</w:t>
      </w:r>
    </w:p>
    <w:p>
      <w:pPr>
        <w:pStyle w:val="Heading2"/>
      </w:pPr>
      <w:r>
        <w:t>Adipositasversorgung in Belgien: BMI nur zu 25% dokumentiert, Screening-Lücke in Hausarztpraxen</w:t>
      </w:r>
    </w:p>
    <w:p>
      <w:r>
        <w:rPr>
          <w:i/>
          <w:color w:val="666666"/>
          <w:sz w:val="18"/>
        </w:rPr>
        <w:t>van Laar ADE et al.  ·  Clin Obes  ·  Aug. 2026  ·  PMID 42487214</w:t>
      </w:r>
    </w:p>
    <w:p>
      <w:r>
        <w:t>Querschnittsvergleich Adipositas-Komplikationen zwischen belgischen Hausarztpraxen (Intego-Register, n=208.891) und spezialisierter Adipositasklinik (n=3.605).</w:t>
      </w:r>
    </w:p>
    <w:p>
      <w:r>
        <w:rPr>
          <w:b/>
        </w:rPr>
        <w:t xml:space="preserve">Ergebnis: </w:t>
      </w:r>
      <w:r>
        <w:t>BMI wird in Hausarztpraxen nur bei 25,6% dokumentiert. Patienten mit dokumentiertem BMI (MW 27,1 kg/m²) haben höhere Prävalenz von Hypertonie (30,1% vs. 17,0%), Schlafapnoe (3,8% vs. 1,5%) und Typ-2-Diabetes (12,7% vs. 4,4%) als ohne BMI-Eintrag. Adipositas-Klink-Patienten (BMI 39,0) zeigen Schlafapnoe in 37,9%.</w:t>
      </w:r>
    </w:p>
    <w:p>
      <w:r>
        <w:rPr>
          <w:b/>
          <w:sz w:val="19"/>
        </w:rPr>
        <w:t xml:space="preserve">Übertragbarkeit: </w:t>
      </w:r>
      <w:r>
        <w:rPr>
          <w:sz w:val="19"/>
        </w:rPr>
        <w:t>Belgische GKV-ähnliche Routineversorgung; unmittelbar auf Deutschland übertragbar zur Qualitätssicherung.</w:t>
      </w:r>
    </w:p>
    <w:p>
      <w:r>
        <w:rPr>
          <w:color w:val="5A7D3A"/>
          <w:sz w:val="18"/>
        </w:rPr>
        <w:t>https://pubmed.ncbi.nlm.nih.gov/42487214/</w:t>
      </w:r>
    </w:p>
    <w:p>
      <w:pPr>
        <w:pStyle w:val="Heading1"/>
      </w:pPr>
      <w:r>
        <w:t>Aufgenommen am 29.08.2026</w:t>
      </w:r>
    </w:p>
    <w:p>
      <w:pPr>
        <w:pStyle w:val="Heading2"/>
      </w:pPr>
      <w:r>
        <w:t>E-Bike-Unfälle zeigen keine höhere Verletzungsschwere als Fahrradunfälle, höherer BMI protektiv</w:t>
      </w:r>
    </w:p>
    <w:p>
      <w:r>
        <w:rPr>
          <w:i/>
          <w:color w:val="666666"/>
          <w:sz w:val="18"/>
        </w:rPr>
        <w:t>Bauer D et al.  ·  Eur J Trauma Emerg Surg  ·  14.08.2026  ·  PMID 42599451</w:t>
      </w:r>
    </w:p>
    <w:p>
      <w:r>
        <w:t>Retrospektive Einzelzentrumskohorte (n=261): 37 E-Bike- vs. 224 Fahrrad-Fahrer*innen mit Traumazentrum-Aufnahme. Primär: Injury Severity Score (ISS), regionale Abbreviated Injury Scale. Sekundär: SAPS II, Liegedauer, TISS-10. Multivariable logistische Regression für prädiktive Faktoren.</w:t>
      </w:r>
    </w:p>
    <w:p>
      <w:r>
        <w:rPr>
          <w:b/>
        </w:rPr>
        <w:t xml:space="preserve">Ergebnis: </w:t>
      </w:r>
      <w:r>
        <w:t>E-Bike-Fahrer*innen: höherer BMI (26,1 vs. 24,6 kg/m²; p=0,029). Kein signifikanter Unterschied in ISS, SAPS II oder Ressourcennutzung. Konventionelle Fahrer häufiger AIS Pelvis/Extremitäten ≥3 (14,3% vs. 5,4%; p=0,045). Multivariat: ISS und BMI unabhängige Prädiktoren von Extremitätenfrakturen (BMI OR 0,901, p=0,004). BMI unabhängiger Prädiktor von E-Bike-Nutzung (OR 1,130, p=0,005).</w:t>
      </w:r>
    </w:p>
    <w:p>
      <w:r>
        <w:rPr>
          <w:b/>
          <w:sz w:val="19"/>
        </w:rPr>
        <w:t xml:space="preserve">Übertragbarkeit: </w:t>
      </w:r>
      <w:r>
        <w:rPr>
          <w:sz w:val="19"/>
        </w:rPr>
        <w:t>Deutsche Universitätsklinik, vergleichbare Unfallmuster und Dokumentation.</w:t>
      </w:r>
    </w:p>
    <w:p>
      <w:r>
        <w:rPr>
          <w:color w:val="5A7D3A"/>
          <w:sz w:val="18"/>
        </w:rPr>
        <w:t>https://pubmed.ncbi.nlm.nih.gov/42599451/</w:t>
      </w:r>
    </w:p>
    <w:p>
      <w:pPr>
        <w:pStyle w:val="Heading2"/>
      </w:pPr>
      <w:r>
        <w:t>Tirzepatid reduzierte kardiovaskuläre Ereignisse um ein Drittel in klinischer Praxis</w:t>
      </w:r>
    </w:p>
    <w:p>
      <w:r>
        <w:rPr>
          <w:i/>
          <w:color w:val="666666"/>
          <w:sz w:val="18"/>
        </w:rPr>
        <w:t>Krüger N et al.  ·  BMJ  ·  05.08.2026  ·  PMID 42556854</w:t>
      </w:r>
    </w:p>
    <w:p>
      <w:r>
        <w:t>Bevölkerungsbasierte Kohortenstudie mit 52.971 Personen mit Typ-2-Diabetes und etablierter kardiovaskulärer Erkrankung, die Tirzepatide (n=35.353) oder Sitagliptin als Plazebo-Vergleich (n=17.618) erhielten, um MACE (Myokardinfarkt, Schlaganfall, Allmortalität) zu untersuchen.</w:t>
      </w:r>
    </w:p>
    <w:p>
      <w:r>
        <w:rPr>
          <w:b/>
        </w:rPr>
        <w:t xml:space="preserve">Ergebnis: </w:t>
      </w:r>
      <w:r>
        <w:t>Ein-Jahres-MACE-Risiko: 2,9% (Tirzepatid) vs. 4,4% (Sitagliptin); Risikodifferenz −1,4% (95% CI −2,1 bis −0,7), NNT=70. Hazard Ratio 0,68 (95% CI 0,58–0,80). Myokardinfarkt HR 0,67 (0,52–0,87), Schlaganfall HR 0,91 (0,64–1,28). Infektionsereignisse sanken (HR 0,64), infektionsbedingte Mortalität HR 0,40 (0,26–0,61). Allmortalität HR 0,55 (0,42–0,72).</w:t>
      </w:r>
    </w:p>
    <w:p>
      <w:r>
        <w:rPr>
          <w:b/>
          <w:sz w:val="19"/>
        </w:rPr>
        <w:t xml:space="preserve">Übertragbarkeit: </w:t>
      </w:r>
      <w:r>
        <w:rPr>
          <w:sz w:val="19"/>
        </w:rPr>
        <w:t>USA, Daten mit Versicherungsansprüchen; kostenpflichtig vs. in Deutschland nicht erstattbar.</w:t>
      </w:r>
    </w:p>
    <w:p>
      <w:r>
        <w:rPr>
          <w:color w:val="5A7D3A"/>
          <w:sz w:val="18"/>
        </w:rPr>
        <w:t>https://pubmed.ncbi.nlm.nih.gov/42556854/</w:t>
      </w:r>
    </w:p>
    <w:p>
      <w:pPr>
        <w:pStyle w:val="Heading2"/>
      </w:pPr>
      <w:r>
        <w:t>Lifestyle änderungen bei kardio-metabolischem Syndrom senken Sterblichkeit um 15-19 %</w:t>
      </w:r>
    </w:p>
    <w:p>
      <w:r>
        <w:rPr>
          <w:i/>
          <w:color w:val="666666"/>
          <w:sz w:val="18"/>
        </w:rPr>
        <w:t>You Q et al.  ·  Clin Cardiol  ·  Aug. 2026  ·  PMID 42554187</w:t>
      </w:r>
    </w:p>
    <w:p>
      <w:r>
        <w:t>Zwei Kohortenstudien (UK Biobank: 306.831 Teilnehmer; NHANES: 9.823) untersuchten, wie ein gesundes Lebensstil-Score aus sieben Faktoren (Nichtrauchen, gemäßigtes Trinken, gesunde Ernährung, Bewegung, ausreichend Schlaf, niedriger Sitzaufwand, soziale Kontakte) die Sterblichkeit bei Personen mit kardio-vaskulär-metabolischem Syndrom beeinflusst.</w:t>
      </w:r>
    </w:p>
    <w:p>
      <w:r>
        <w:rPr>
          <w:b/>
        </w:rPr>
        <w:t xml:space="preserve">Ergebnis: </w:t>
      </w:r>
      <w:r>
        <w:t>Höhere Lebensstil-Scores waren mit reduzierten Risiken für Allmortalität (HR 0,81; 95% CI 0,80–0,82) und kardiovaskuläre Sterblichkeit (HR 0,82; 95% CI 0,80–0,84) in UK Biobank assoziiert. In NHANES zeigten sich 15% (95% CI 0,80–0,90) und 11% (95% CI 0,81–0,99) niedrigere Mortalitätsrisiken. Bewegung und niedriger Sitzaufwand waren besonders wirksam. Das Risiko war am niedrigsten bei Personen mit nicht fortgeschrittenem CKM-Syndrom und günstigem Lebensstil.</w:t>
      </w:r>
    </w:p>
    <w:p>
      <w:r>
        <w:rPr>
          <w:b/>
          <w:sz w:val="19"/>
        </w:rPr>
        <w:t xml:space="preserve">Übertragbarkeit: </w:t>
      </w:r>
      <w:r>
        <w:rPr>
          <w:sz w:val="19"/>
        </w:rPr>
        <w:t>UK Biobank und NHANES, breite US-Bevölkerung, aber Lebensstil-Mechanismen universal.</w:t>
      </w:r>
    </w:p>
    <w:p>
      <w:r>
        <w:rPr>
          <w:color w:val="5A7D3A"/>
          <w:sz w:val="18"/>
        </w:rPr>
        <w:t>https://pubmed.ncbi.nlm.nih.gov/42554187/</w:t>
      </w:r>
    </w:p>
    <w:p>
      <w:pPr>
        <w:pStyle w:val="Heading2"/>
      </w:pPr>
      <w:r>
        <w:t>Zenagamtide (einmal wöchentlich) senkte HbA1c um 0,9–1,7 % bei Typ-2-Diabetes</w:t>
      </w:r>
    </w:p>
    <w:p>
      <w:r>
        <w:rPr>
          <w:i/>
          <w:color w:val="666666"/>
          <w:sz w:val="18"/>
        </w:rPr>
        <w:t>Mora P et al.  ·  Lancet  ·  15.08.2026  ·  PMID 42532080</w:t>
      </w:r>
    </w:p>
    <w:p>
      <w:r>
        <w:t>36-wöchige Doppelblind-Dosisfindungs-Phase-2-Studie (n=262) mit subkutanem GLP-1/Amylin/Calcitonin-Rezeptor-Agonist Zenagamtide (0,4–40 mg) vs. Plazebo in 83 Zentren über 11 Länder bei Typ-2-Diabetes-Patient*innen auf stabiler Metformin-Therapie.</w:t>
      </w:r>
    </w:p>
    <w:p>
      <w:r>
        <w:rPr>
          <w:b/>
        </w:rPr>
        <w:t xml:space="preserve">Ergebnis: </w:t>
      </w:r>
      <w:r>
        <w:t>HbA1c-Änderung von Baseline (7,8%) zu Woche 36: −0,9% mit 0,4 mg (ETD −0,77%, p=0,0021) bis −1,7% mit 40 mg (ETD −1,56%, p&lt;0,0001). Behandlungsdifferenzen vs. Plazebo alle signifikant (p≤0,0001). Nebenwirkungen hauptsächlich gastrointestinal, mild bis moderat. 8% ernsthafte Nebenwirkungen über alle Dosen, 0% unter Plazebo. Keine Todesfälle.</w:t>
      </w:r>
    </w:p>
    <w:p>
      <w:r>
        <w:rPr>
          <w:b/>
          <w:sz w:val="19"/>
        </w:rPr>
        <w:t xml:space="preserve">Übertragbarkeit: </w:t>
      </w:r>
      <w:r>
        <w:rPr>
          <w:sz w:val="19"/>
        </w:rPr>
        <w:t>Globale Studie, aber in Deutschland nicht erstattungsfähig nach § 34 SGB V.</w:t>
      </w:r>
    </w:p>
    <w:p>
      <w:r>
        <w:rPr>
          <w:color w:val="5A7D3A"/>
          <w:sz w:val="18"/>
        </w:rPr>
        <w:t>https://pubmed.ncbi.nlm.nih.gov/42532080/</w:t>
      </w:r>
    </w:p>
    <w:p>
      <w:pPr>
        <w:pStyle w:val="Heading2"/>
      </w:pPr>
      <w:r>
        <w:t>Häufige Mahlzeiteneinsparung mit Desserts erhöhte Adipositasrisiko bei Studierenden um das 7-Fache</w:t>
      </w:r>
    </w:p>
    <w:p>
      <w:r>
        <w:rPr>
          <w:i/>
          <w:color w:val="666666"/>
          <w:sz w:val="18"/>
        </w:rPr>
        <w:t>Moleriu RD et al.  ·  Nutrients  ·  20.07.2026  ·  PMID 42514438</w:t>
      </w:r>
    </w:p>
    <w:p>
      <w:r>
        <w:t>Querschnittsstudie (n=921) rumänischer Universitätsstudierender (18–24 Jahre; 60,6% weiblich) via CAWI-Fragebogen zu Ernährungsverhalten, mit Assoziationen zu BMI-Kategorien (WHO) und Clustering diätetischer Phänotypen.</w:t>
      </w:r>
    </w:p>
    <w:p>
      <w:r>
        <w:rPr>
          <w:b/>
        </w:rPr>
        <w:t xml:space="preserve">Ergebnis: </w:t>
      </w:r>
      <w:r>
        <w:t>24,1% übergewichtig/adipös (19,4% übergewichtig, 4,7% adipös). Häufige Mahlzeiteneinsparung mit Desserts: aOR 7,20 (95% CI 4,26–12,17); Fast-Food ≥3×/Woche: aOR 1,98 (95% CI 1,26–3,10). Männliches Geschlecht, höheres Alter und urbaner Wohnort assoziiert mit Übergewicht. Dietary Risk Score (0–5) dose-abhängig mit Übergewicht: 19,8% (Score 0) bis 50,0% (Score 4); aOR 1,43 pro Punkt-Erhöhung (95% CI 1,23–1,66).</w:t>
      </w:r>
    </w:p>
    <w:p>
      <w:r>
        <w:rPr>
          <w:b/>
          <w:sz w:val="19"/>
        </w:rPr>
        <w:t xml:space="preserve">Übertragbarkeit: </w:t>
      </w:r>
      <w:r>
        <w:rPr>
          <w:sz w:val="19"/>
        </w:rPr>
        <w:t>Rumänien, vergleichbar mit deutschem Hochschulsystem, aber begrenzt auf junge Erwachsene.</w:t>
      </w:r>
    </w:p>
    <w:p>
      <w:r>
        <w:rPr>
          <w:color w:val="5A7D3A"/>
          <w:sz w:val="18"/>
        </w:rPr>
        <w:t>https://pubmed.ncbi.nlm.nih.gov/42514438/</w:t>
      </w:r>
    </w:p>
    <w:p>
      <w:pPr>
        <w:pStyle w:val="Heading2"/>
      </w:pPr>
      <w:r>
        <w:t>Verbesserte Fütterungspraktiken reduzierten Adipositas bei SGA-Kindern um 7 Prozentpunkte</w:t>
      </w:r>
    </w:p>
    <w:p>
      <w:r>
        <w:rPr>
          <w:i/>
          <w:color w:val="666666"/>
          <w:sz w:val="18"/>
        </w:rPr>
        <w:t>Bucur-Grosu ML et al.  ·  Nutrients  ·  13.07.2026  ·  PMID 42514365</w:t>
      </w:r>
    </w:p>
    <w:p>
      <w:r>
        <w:t>Retrospektive Vergleichskohorte (n=1108): 600 geburtsgewichtsdiskordante Neugeborene 2010–2011 vs. 508 aus 2020–2021 in Rumänien, mit Nachverfolgung der Ernährungspraktiken, Anthropometrie und Gesundheitsergebnisse bei 2–3 Jahren per Telefon-Interview.</w:t>
      </w:r>
    </w:p>
    <w:p>
      <w:r>
        <w:rPr>
          <w:b/>
        </w:rPr>
        <w:t xml:space="preserve">Ergebnis: </w:t>
      </w:r>
      <w:r>
        <w:t>Adipositasprävalenz: 29,5% → 22,4% bei 2 Jahren; 32,7% → 20,7% bei 3 Jahren (p&lt;0,001). Stillen stieg 35,5% → 59,1% (p&lt;0,001), adäquate Beikost 66,3% → 74,2% (p=0,005). In historischer Kohorte: Mischfütterung vs. Flaschennahrung aOR 2,55 (95% CI 1,52–4,43) für Übergewicht/Adipositas bei 2 Jahren; in zeitgenössischer Kohorte nicht signifikant. Stillen protektiv in beiden. Adäquate Beikost mit niedrigerer Allergieprävalenz verknüpft (14,8% vs. 24,8%).</w:t>
      </w:r>
    </w:p>
    <w:p>
      <w:r>
        <w:rPr>
          <w:b/>
          <w:sz w:val="19"/>
        </w:rPr>
        <w:t xml:space="preserve">Übertragbarkeit: </w:t>
      </w:r>
      <w:r>
        <w:rPr>
          <w:sz w:val="19"/>
        </w:rPr>
        <w:t>Rumänien, aber Fütterungstrends und Adipositasrisiken bei SGA-Kleinkindern universal relevant.</w:t>
      </w:r>
    </w:p>
    <w:p>
      <w:r>
        <w:rPr>
          <w:color w:val="5A7D3A"/>
          <w:sz w:val="18"/>
        </w:rPr>
        <w:t>https://pubmed.ncbi.nlm.nih.gov/42514365/</w:t>
      </w:r>
    </w:p>
    <w:p>
      <w:pPr>
        <w:pStyle w:val="Heading2"/>
      </w:pPr>
      <w:r>
        <w:t>Gruppenbasierte Verhaltensintervention für schwere Adipositas: Protokoll zu RCT mit UK-NHS-Implementierung</w:t>
      </w:r>
    </w:p>
    <w:p>
      <w:r>
        <w:rPr>
          <w:i/>
          <w:color w:val="666666"/>
          <w:sz w:val="18"/>
        </w:rPr>
        <w:t>Barnett A et al.  ·  BMJ Open  ·  24.07.2026  ·  PMID 42498478</w:t>
      </w:r>
    </w:p>
    <w:p>
      <w:r>
        <w:t>Studienprotokoll für randomisierte kontrollierte Studie (PROGROUP), die eine strukturierte gruppenbasierte Verhaltensintervention mit üblicher Versorgung in britischen Spezialist*innen-Gewichtsmanagementerrvices vergleicht; geplant sind auch Implementierungsstudien in der Primärversorgung.</w:t>
      </w:r>
    </w:p>
    <w:p>
      <w:r>
        <w:rPr>
          <w:b/>
        </w:rPr>
        <w:t xml:space="preserve">Ergebnis: </w:t>
      </w:r>
      <w:r>
        <w:t>Protokoll beschreibt Rekrutierungsziele von 30 Teilnehmer*innen pro Kohorte (1:1 randomisiert), Endpunkte bei 6 Monaten für Gewicht, klinische Maße und patientenberichtete Ergebnisse, Plus Prozess- und Wirtschaftsevaluierung. Begleitende Implementierungsstudie in Primärversorgung mit 15er-Kohorten geplant.</w:t>
      </w:r>
    </w:p>
    <w:p>
      <w:r>
        <w:rPr>
          <w:b/>
          <w:sz w:val="19"/>
        </w:rPr>
        <w:t xml:space="preserve">Übertragbarkeit: </w:t>
      </w:r>
      <w:r>
        <w:rPr>
          <w:sz w:val="19"/>
        </w:rPr>
        <w:t>UK-NHS-System, aber Gruppenformat und Wirtschaftsbewertung auf andere Systeme übertragbar.</w:t>
      </w:r>
    </w:p>
    <w:p>
      <w:r>
        <w:rPr>
          <w:color w:val="5A7D3A"/>
          <w:sz w:val="18"/>
        </w:rPr>
        <w:t>https://pubmed.ncbi.nlm.nih.gov/42498478/</w:t>
      </w:r>
    </w:p>
    <w:p>
      <w:pPr>
        <w:pStyle w:val="Heading1"/>
      </w:pPr>
      <w:r>
        <w:t>Aufgenommen am 28.08.2026</w:t>
      </w:r>
    </w:p>
    <w:p>
      <w:pPr>
        <w:pStyle w:val="Heading2"/>
      </w:pPr>
      <w:r>
        <w:t>GLP-1-Rezeptoragonisten in der Schlafmedizin: Europäische Praxis zeigt Koordinierungslücken</w:t>
      </w:r>
    </w:p>
    <w:p>
      <w:r>
        <w:rPr>
          <w:i/>
          <w:color w:val="666666"/>
          <w:sz w:val="18"/>
        </w:rPr>
        <w:t>Testelmans D et al.  ·  Pulmonology  ·  25.08.2026  ·  PMID 42639925</w:t>
      </w:r>
    </w:p>
    <w:p>
      <w:r>
        <w:t>Paneuropäische Umfrage unter Schlafmedizinern zu Nutzung und Koordination von GLP-1-Rezeptoragonisten bei Patienten mit Schlafapnoe und Adipositas.</w:t>
      </w:r>
    </w:p>
    <w:p>
      <w:r>
        <w:rPr>
          <w:b/>
        </w:rPr>
        <w:t xml:space="preserve">Ergebnis: </w:t>
      </w:r>
      <w:r>
        <w:t>42 % der europäischen Zentren können GLP-1RA in der Schlafklinik einleiten. Empfohlen werden diagnostische Schlafstudien bei 92 % der Symptomsenden, PAP-Retitrierung/Absetzen erfolgt aber nur bei 14 %. Strukturierte interdisziplinäre Pfade fehlen vielerorts.</w:t>
      </w:r>
    </w:p>
    <w:p>
      <w:r>
        <w:rPr>
          <w:b/>
          <w:sz w:val="19"/>
        </w:rPr>
        <w:t xml:space="preserve">Übertragbarkeit: </w:t>
      </w:r>
      <w:r>
        <w:rPr>
          <w:sz w:val="19"/>
        </w:rPr>
        <w:t>14 europäische Länder, ESADA-Netzwerk; zeigt Versorgungsvariabilität auf Systemebene</w:t>
      </w:r>
    </w:p>
    <w:p>
      <w:r>
        <w:rPr>
          <w:color w:val="5A7D3A"/>
          <w:sz w:val="18"/>
        </w:rPr>
        <w:t>https://pubmed.ncbi.nlm.nih.gov/42639925/</w:t>
      </w:r>
    </w:p>
    <w:p>
      <w:pPr>
        <w:pStyle w:val="Heading2"/>
      </w:pPr>
      <w:r>
        <w:t>Arbeitszeitverkürzung erhöhte Übergewicht bei Fabrikarbeitern um 6,7 Prozentpunkte</w:t>
      </w:r>
    </w:p>
    <w:p>
      <w:r>
        <w:rPr>
          <w:i/>
          <w:color w:val="666666"/>
          <w:sz w:val="18"/>
        </w:rPr>
        <w:t>Costa-Font J et al.  ·  Econ Hum Biol  ·  04.08.2026  ·  PMID 42636624</w:t>
      </w:r>
    </w:p>
    <w:p>
      <w:r>
        <w:t>Französische Betriebsstudie zur Auswirkung der 35-Stunden-Woche auf Übergewicht und Adipositas bei Industrie- und Verwaltungsangestellten.</w:t>
      </w:r>
    </w:p>
    <w:p>
      <w:r>
        <w:rPr>
          <w:b/>
        </w:rPr>
        <w:t xml:space="preserve">Ergebnis: </w:t>
      </w:r>
      <w:r>
        <w:t>Bei Fabrikarbeitern stieg das Übergewichtsrisiko um 6,7 pp und sank die Adipositasprävalenz um 2,6 pp; bei Büroarbeitern keine Gesamteffekte. Heterogene Effekte: Bei Fabrikarbeitern vor Normal- zu Übergewicht verschiebend, bei Büroarbeitern Abnahme nur unter Übergewichtigen.</w:t>
      </w:r>
    </w:p>
    <w:p>
      <w:r>
        <w:rPr>
          <w:b/>
          <w:sz w:val="19"/>
        </w:rPr>
        <w:t xml:space="preserve">Übertragbarkeit: </w:t>
      </w:r>
      <w:r>
        <w:rPr>
          <w:sz w:val="19"/>
        </w:rPr>
        <w:t>Frankreich, Einzelbetriebsdaten; Struktur des Arbeitslebens bestimmt Adipositasrisiko</w:t>
      </w:r>
    </w:p>
    <w:p>
      <w:r>
        <w:rPr>
          <w:color w:val="5A7D3A"/>
          <w:sz w:val="18"/>
        </w:rPr>
        <w:t>https://pubmed.ncbi.nlm.nih.gov/42636624/</w:t>
      </w:r>
    </w:p>
    <w:p>
      <w:pPr>
        <w:pStyle w:val="Heading2"/>
      </w:pPr>
      <w:r>
        <w:t>GLP-1-Rezeptoragonisten in Kroatien: 42,7 % der Antidiabetika-Ausgaben, kaum für Adipositas</w:t>
      </w:r>
    </w:p>
    <w:p>
      <w:r>
        <w:rPr>
          <w:i/>
          <w:color w:val="666666"/>
          <w:sz w:val="18"/>
        </w:rPr>
        <w:t>Belančić A et al.  ·  J Int Med Res  ·  08.08.2026  ·  PMID 42570295</w:t>
      </w:r>
    </w:p>
    <w:p>
      <w:r>
        <w:t>Nationale Auswertung der GLP-1RA-Nutzung und -Kosten in Kroatien 2010–2024 vor Hintergrund sich ändernder klinischer Evidenz und Erstattungspolitik.</w:t>
      </w:r>
    </w:p>
    <w:p>
      <w:r>
        <w:rPr>
          <w:b/>
        </w:rPr>
        <w:t xml:space="preserve">Ergebnis: </w:t>
      </w:r>
      <w:r>
        <w:t>GLP-1RA-Konsum stieg von marginal auf 15,99 DDD/1000 Einwohner/Tag (2024); Ausgaben 42,07 Mio. Euro, 42,7 % der antidiabetischen Ausgaben. Adipositas-Indikationen stark untergenutzt wegen fehlender Erstattung.</w:t>
      </w:r>
    </w:p>
    <w:p>
      <w:r>
        <w:rPr>
          <w:b/>
          <w:sz w:val="19"/>
        </w:rPr>
        <w:t xml:space="preserve">Übertragbarkeit: </w:t>
      </w:r>
      <w:r>
        <w:rPr>
          <w:sz w:val="19"/>
        </w:rPr>
        <w:t>Kroatien, Versicherungsdaten (IQVIA); zeigt Erstattungsbarrieren auch in EU-Systemen</w:t>
      </w:r>
    </w:p>
    <w:p>
      <w:r>
        <w:rPr>
          <w:color w:val="5A7D3A"/>
          <w:sz w:val="18"/>
        </w:rPr>
        <w:t>https://pubmed.ncbi.nlm.nih.gov/42570295/</w:t>
      </w:r>
    </w:p>
    <w:p>
      <w:pPr>
        <w:pStyle w:val="Heading2"/>
      </w:pPr>
      <w:r>
        <w:t>Semaglutid-Behandlung reduzierte Triptan-Verbrauch um 7 % bei Gewichtsverlust-Nutzern</w:t>
      </w:r>
    </w:p>
    <w:p>
      <w:r>
        <w:rPr>
          <w:i/>
          <w:color w:val="666666"/>
          <w:sz w:val="18"/>
        </w:rPr>
        <w:t>Roland N et al.  ·  J Headache Pain  ·  05.08.2026  ·  PMID 42557547</w:t>
      </w:r>
    </w:p>
    <w:p>
      <w:r>
        <w:t>Dänische Registeranalyse zu Veränderungen im Triptan-Verbrauch nach Semaglutid-Initiierung zur Gewichtsreduktion in 189.392 Patienten.</w:t>
      </w:r>
    </w:p>
    <w:p>
      <w:r>
        <w:rPr>
          <w:b/>
        </w:rPr>
        <w:t xml:space="preserve">Ergebnis: </w:t>
      </w:r>
      <w:r>
        <w:t>Triptan-Verbrauch sank um 13 DDD/Monat/10.000 Einwohner (RR 0,93; 95%-KI 0,88–0,97) oder 7 % relativ. Stärkere Reduktion bei Frauen (8 %) und Altersgruppe 18–35 Jahre (14 %). Effekt primär bei Dauernutzern, nicht neuen Nutzern.</w:t>
      </w:r>
    </w:p>
    <w:p>
      <w:r>
        <w:rPr>
          <w:b/>
          <w:sz w:val="19"/>
        </w:rPr>
        <w:t xml:space="preserve">Übertragbarkeit: </w:t>
      </w:r>
      <w:r>
        <w:rPr>
          <w:sz w:val="19"/>
        </w:rPr>
        <w:t>Dänemark, nationale Register; Adipositas-Therapie verringert Migränemedikamentenbedarf</w:t>
      </w:r>
    </w:p>
    <w:p>
      <w:r>
        <w:rPr>
          <w:color w:val="5A7D3A"/>
          <w:sz w:val="18"/>
        </w:rPr>
        <w:t>https://pubmed.ncbi.nlm.nih.gov/42557547/</w:t>
      </w:r>
    </w:p>
    <w:p>
      <w:pPr>
        <w:pStyle w:val="Heading2"/>
      </w:pPr>
      <w:r>
        <w:t>Schwedische Hausärzte sehen GLP-1RA als wirksam, nennen Zuzahlungen und Engpässe als Barrieren</w:t>
      </w:r>
    </w:p>
    <w:p>
      <w:r>
        <w:rPr>
          <w:i/>
          <w:color w:val="666666"/>
          <w:sz w:val="18"/>
        </w:rPr>
        <w:t>Sundell I et al.  ·  BMC Prim Care  ·  05.08.2026  ·  PMID 42557543</w:t>
      </w:r>
    </w:p>
    <w:p>
      <w:r>
        <w:t>Querschnittserhebung bei schwedischen Hausärzten (28 % Rücklaufquote) zu Einstellungen zu GLP-1RA bei Übergewicht und Adipositas.</w:t>
      </w:r>
    </w:p>
    <w:p>
      <w:r>
        <w:rPr>
          <w:b/>
        </w:rPr>
        <w:t xml:space="preserve">Ergebnis: </w:t>
      </w:r>
      <w:r>
        <w:t>98 % hielten GLP-1RA für wirksam, 91 % prognostizieren Bedeutung in der Zukunft. Hauptbarrieren: hohe Patienten-Zuzahlungen (69 %), Lieferengpässe (86 %). Limitiert durch niedrige Rücklaufquote und Selbstselektionsbias.</w:t>
      </w:r>
    </w:p>
    <w:p>
      <w:r>
        <w:rPr>
          <w:b/>
          <w:sz w:val="19"/>
        </w:rPr>
        <w:t xml:space="preserve">Übertragbarkeit: </w:t>
      </w:r>
      <w:r>
        <w:rPr>
          <w:sz w:val="19"/>
        </w:rPr>
        <w:t>Schweden, Primärversorgung; Erstattungs- und Verfügbarkeitsfragen zentral für Verbreitung</w:t>
      </w:r>
    </w:p>
    <w:p>
      <w:r>
        <w:rPr>
          <w:color w:val="5A7D3A"/>
          <w:sz w:val="18"/>
        </w:rPr>
        <w:t>https://pubmed.ncbi.nlm.nih.gov/42557543/</w:t>
      </w:r>
    </w:p>
    <w:p>
      <w:pPr>
        <w:pStyle w:val="Heading2"/>
      </w:pPr>
      <w:r>
        <w:t>Belgische Diätisten berichten begrenzte GP-Überweisungen und fehlende Koordinationsrichtlinien</w:t>
      </w:r>
    </w:p>
    <w:p>
      <w:r>
        <w:rPr>
          <w:i/>
          <w:color w:val="666666"/>
          <w:sz w:val="18"/>
        </w:rPr>
        <w:t>Schreurs L et al.  ·  J Hum Nutr Diet  ·  Aug. 2026  ·  PMID 42501376</w:t>
      </w:r>
    </w:p>
    <w:p>
      <w:r>
        <w:t>Qualitative Studie mit 12 flämischen Diätisten zu Zugang, Überwachung und Weiterverweisung in der Adipositasversorgung.</w:t>
      </w:r>
    </w:p>
    <w:p>
      <w:r>
        <w:rPr>
          <w:b/>
        </w:rPr>
        <w:t xml:space="preserve">Ergebnis: </w:t>
      </w:r>
      <w:r>
        <w:t>Patienten nutzen Diätistik vor allem durch Eigeninitiative oder medizinische Überweisungen; GP-Überweisungen begrenzt. Überwachung und Dauer stark variabel. Barrieren: begrenzte Patientenmotivation, Zeitdruck, mangelhafte Finanzierung. Diätisten fordern Leitlinien und zentrale Koordination.</w:t>
      </w:r>
    </w:p>
    <w:p>
      <w:r>
        <w:rPr>
          <w:b/>
          <w:sz w:val="19"/>
        </w:rPr>
        <w:t xml:space="preserve">Übertragbarkeit: </w:t>
      </w:r>
      <w:r>
        <w:rPr>
          <w:sz w:val="19"/>
        </w:rPr>
        <w:t>Belgien (Flandern), Primärversorgung; typisch für europäische Fragmentierung</w:t>
      </w:r>
    </w:p>
    <w:p>
      <w:r>
        <w:rPr>
          <w:color w:val="5A7D3A"/>
          <w:sz w:val="18"/>
        </w:rPr>
        <w:t>https://pubmed.ncbi.nlm.nih.gov/42501376/</w:t>
      </w:r>
    </w:p>
    <w:p>
      <w:pPr>
        <w:pStyle w:val="Heading1"/>
      </w:pPr>
      <w:r>
        <w:t>Aufgenommen am 27.08.2026</w:t>
      </w:r>
    </w:p>
    <w:p>
      <w:pPr>
        <w:pStyle w:val="Heading2"/>
      </w:pPr>
      <w:r>
        <w:t>Portable Diagnostik metabolisches Syndrom: validierte Point-of-Care-Analysegeräte in mobiler Einheit</w:t>
      </w:r>
    </w:p>
    <w:p>
      <w:r>
        <w:rPr>
          <w:i/>
          <w:color w:val="666666"/>
          <w:sz w:val="18"/>
        </w:rPr>
        <w:t>Houtenbos S et al.  ·  BMC Prim Care  ·  19.08.2026  ·  PMID 42632889</w:t>
      </w:r>
    </w:p>
    <w:p>
      <w:r>
        <w:t>Pilot-Validierungsstudie an 50 Personen, die Zuverlässigkeit und Gültigkeit von tragbaren Point-of-Care-Analysegeräten zur Früherkennung des metabolischen Syndroms testete.</w:t>
      </w:r>
    </w:p>
    <w:p>
      <w:r>
        <w:rPr>
          <w:b/>
        </w:rPr>
        <w:t xml:space="preserve">Ergebnis: </w:t>
      </w:r>
      <w:r>
        <w:t>Alere-Gerät zeigte geringste Abweichung vs. Referenzlabor (Glukose: Bias −5 mg/dl [LoA −25 bis 6]; Triglyceride: Bias 8 [LoA −58 bis 30]; HDL: Bias −2 [LoA −14 bis 9]). Test-Retest-Zuverlässigkeit schlecht bis exzellent mit niedriger Variabilität (0,9–5,8 %). Metabolisches-Syndrom-Diagnose unterschied sich zwischen Messtagen nicht.</w:t>
      </w:r>
    </w:p>
    <w:p>
      <w:r>
        <w:rPr>
          <w:b/>
          <w:sz w:val="19"/>
        </w:rPr>
        <w:t xml:space="preserve">Übertragbarkeit: </w:t>
      </w:r>
      <w:r>
        <w:rPr>
          <w:sz w:val="19"/>
        </w:rPr>
        <w:t>Deutsche Kliniken, vergleichbare mobil-präventive Ansätze in der Primärversorgung</w:t>
      </w:r>
    </w:p>
    <w:p>
      <w:r>
        <w:rPr>
          <w:color w:val="5A7D3A"/>
          <w:sz w:val="18"/>
        </w:rPr>
        <w:t>https://pubmed.ncbi.nlm.nih.gov/42632889/</w:t>
      </w:r>
    </w:p>
    <w:p>
      <w:pPr>
        <w:pStyle w:val="Heading2"/>
      </w:pPr>
      <w:r>
        <w:t>Polnische Ärzte sehen GLP-1 als wirksam und sicher: 87–97 % Zustimmung für Erstattung, aber Verfügbarkeitsmangel</w:t>
      </w:r>
    </w:p>
    <w:p>
      <w:r>
        <w:rPr>
          <w:i/>
          <w:color w:val="666666"/>
          <w:sz w:val="18"/>
        </w:rPr>
        <w:t>Pucek WF et al.  ·  Front Endocrinol (Lausanne)  ·  04.08.2026  ·  PMID 42614226</w:t>
      </w:r>
    </w:p>
    <w:p>
      <w:r>
        <w:t>Querschnitts-Online-Befragung von 1.100 polnischen Gesundheitsfachkräften (Ärzte, Apotheker, Krankenpfleger, Diätassistenten, Physiotherapeuten; Mai–August 2025) zu Wahrnehmungen von GLP-1-Rezeptoragonisten.</w:t>
      </w:r>
    </w:p>
    <w:p>
      <w:r>
        <w:rPr>
          <w:b/>
        </w:rPr>
        <w:t xml:space="preserve">Ergebnis: </w:t>
      </w:r>
      <w:r>
        <w:t>GLP-1 als ‚sehr wirksam' für Gewichtsreduktion: Physiotherapeuten 87,3 %, Diätassistenten 84,8 %, Krankenpfleger 59,4 %, Ärzte 52,4 %. Sicherheit: 87–97 % aller Gruppen. Erstattungsunterstützung: 75–97 %. Ärzte in Diabetologie/Endokrinologie: adjustiertes OR 11,80 (95%-KI 3,88–35,84) für ‚sehr wirksam'; OR 2,71–7,00 für psychische Effekte.</w:t>
      </w:r>
    </w:p>
    <w:p>
      <w:r>
        <w:rPr>
          <w:b/>
          <w:sz w:val="19"/>
        </w:rPr>
        <w:t xml:space="preserve">Übertragbarkeit: </w:t>
      </w:r>
      <w:r>
        <w:rPr>
          <w:sz w:val="19"/>
        </w:rPr>
        <w:t>Polen, EU-Gesundheitssystem, Kostenerstattung und Implementierungsbarrieren ähnlich zu Deutschland</w:t>
      </w:r>
    </w:p>
    <w:p>
      <w:r>
        <w:rPr>
          <w:color w:val="5A7D3A"/>
          <w:sz w:val="18"/>
        </w:rPr>
        <w:t>https://pubmed.ncbi.nlm.nih.gov/42614226/</w:t>
      </w:r>
    </w:p>
    <w:p>
      <w:pPr>
        <w:pStyle w:val="Heading2"/>
      </w:pPr>
      <w:r>
        <w:t>Diagnostische Lücke: nur 10 % neuer Diabetiker mit Gewichtsverlust zu Bauchbildgebung überwiesen</w:t>
      </w:r>
    </w:p>
    <w:p>
      <w:r>
        <w:rPr>
          <w:i/>
          <w:color w:val="666666"/>
          <w:sz w:val="18"/>
        </w:rPr>
        <w:t>Lemanska A et al.  ·  BMJ Open  ·  18.08.2026  ·  PMID 42613106</w:t>
      </w:r>
    </w:p>
    <w:p>
      <w:r>
        <w:t>Retrospektive Kohorte aus englischen Hausarztpraxen (8 Mio. Patienten, 781 Praxen) von 180.815 Patienten mit neu diagnostiziertem Diabetes; Fokus auf Überweisungen zur Bauchbildgebung bei Verdacht auf Pankreaskrebs.</w:t>
      </w:r>
    </w:p>
    <w:p>
      <w:r>
        <w:rPr>
          <w:b/>
        </w:rPr>
        <w:t xml:space="preserve">Ergebnis: </w:t>
      </w:r>
      <w:r>
        <w:t>Bei 1.411 Patienten mit neu-onsettem Diabetes und Gewichtsverlust: 372 (26,4 %) überwiesen, 141 (10,0 %) erhielten Bildgebung, 40 (2,8 %) Pankreaskrebs dokumentiert. 84,2 % hatten ≥1 Körpergewichtsmessung, 89,4 % ≥1 HbA1c-Messung; aber große Untererfassung von Gewichtsverlauf und Überweisungspraxis.</w:t>
      </w:r>
    </w:p>
    <w:p>
      <w:r>
        <w:rPr>
          <w:b/>
          <w:sz w:val="19"/>
        </w:rPr>
        <w:t xml:space="preserve">Übertragbarkeit: </w:t>
      </w:r>
      <w:r>
        <w:rPr>
          <w:sz w:val="19"/>
        </w:rPr>
        <w:t>England, NHS-Primärversorgung, Erstattungsdatenquellen und Überweisungspfade</w:t>
      </w:r>
    </w:p>
    <w:p>
      <w:r>
        <w:rPr>
          <w:color w:val="5A7D3A"/>
          <w:sz w:val="18"/>
        </w:rPr>
        <w:t>https://pubmed.ncbi.nlm.nih.gov/42613106/</w:t>
      </w:r>
    </w:p>
    <w:p>
      <w:pPr>
        <w:pStyle w:val="Heading2"/>
      </w:pPr>
      <w:r>
        <w:t>Adipositaschirurgie vs. Lebensstiländerung: Gewichtverlust, aber Evidenzqualität gering bei Folgeerkrankungen</w:t>
      </w:r>
    </w:p>
    <w:p>
      <w:r>
        <w:rPr>
          <w:i/>
          <w:color w:val="666666"/>
          <w:sz w:val="18"/>
        </w:rPr>
        <w:t>Kiesswetter E et al.  ·  Cochrane Database Syst Rev  ·  18.08.2026  ·  PMID 42610488</w:t>
      </w:r>
    </w:p>
    <w:p>
      <w:r>
        <w:t>Netzwerk-Metaanalyse von 18 Studien (13 RCTs, 5 Kohortenanalysen; n=15.282) zu Langzeiteffekten (≥3 Jahre) verschiedener bariatrischer Verfahren vs. nichtchirurgischer Behandlung bei Adipositas + Typ-2-Diabetes.</w:t>
      </w:r>
    </w:p>
    <w:p>
      <w:r>
        <w:rPr>
          <w:b/>
        </w:rPr>
        <w:t xml:space="preserve">Ergebnis: </w:t>
      </w:r>
      <w:r>
        <w:t>RYGB zeigte vs. Lebensstiländerung: −16,95 % Gewichtsverlust (95%-KI −24,19 bis −9,71), −12,34 cm Taillenumfang (−17,88 bis −6,81), HbA1c −1,44 % (−2,26 bis −0,63). Partiell Typ-2-Diabetes-Remission wahrscheinlich, komplette Remission unsicher. Evidenzqualität für schwere adverse events, Mortalität, komplette Remission sehr niedrig.</w:t>
      </w:r>
    </w:p>
    <w:p>
      <w:r>
        <w:rPr>
          <w:b/>
          <w:sz w:val="19"/>
        </w:rPr>
        <w:t xml:space="preserve">Übertragbarkeit: </w:t>
      </w:r>
      <w:r>
        <w:rPr>
          <w:sz w:val="19"/>
        </w:rPr>
        <w:t>Internationale Cochrane-Übersicht einschließlich deutscher Daten; Adipositaschirurgie nicht Hauptfokus deutscher Versorgung</w:t>
      </w:r>
    </w:p>
    <w:p>
      <w:r>
        <w:rPr>
          <w:color w:val="5A7D3A"/>
          <w:sz w:val="18"/>
        </w:rPr>
        <w:t>https://pubmed.ncbi.nlm.nih.gov/42610488/</w:t>
      </w:r>
    </w:p>
    <w:p>
      <w:pPr>
        <w:pStyle w:val="Heading2"/>
      </w:pPr>
      <w:r>
        <w:t>Orale Semaglutid im Hausarzt: Gewichtsreduktion und Therapiezufriedenheit erzielt</w:t>
      </w:r>
    </w:p>
    <w:p>
      <w:r>
        <w:rPr>
          <w:i/>
          <w:color w:val="666666"/>
          <w:sz w:val="18"/>
        </w:rPr>
        <w:t>Roslind K et al.  ·  Dan Med J  ·  16.06.2026  ·  PMID 42592768</w:t>
      </w:r>
    </w:p>
    <w:p>
      <w:r>
        <w:t>Prospektive Kohortenstudie mit 96 Patienten in Hausarztpraxen, die mit oraler Semaglutid unter Routinebedingungen über 34–44 Wochen behandelt wurden.</w:t>
      </w:r>
    </w:p>
    <w:p>
      <w:r>
        <w:rPr>
          <w:b/>
        </w:rPr>
        <w:t xml:space="preserve">Ergebnis: </w:t>
      </w:r>
      <w:r>
        <w:t>HbA1c-Reduktion um 0,9 Prozentpunkte (95%-KI −1,20 bis −0,61), Körpergewicht um −4,4 kg (95%-KI −5,44 bis −3,41), 66,7 % erreichten HbA1c &lt;7,0 % (vs. 28,1 % zu Baseline). Therapiezufriedenheit stieg (DTSQs +1,9, DTSQc +10,5 Punkte). Keine neuen Sicherheitssignale.</w:t>
      </w:r>
    </w:p>
    <w:p>
      <w:r>
        <w:rPr>
          <w:b/>
          <w:sz w:val="19"/>
        </w:rPr>
        <w:t xml:space="preserve">Übertragbarkeit: </w:t>
      </w:r>
      <w:r>
        <w:rPr>
          <w:sz w:val="19"/>
        </w:rPr>
        <w:t>Dänische Primärversorgung, Routinepraxis, vergleichbares europäisches System</w:t>
      </w:r>
    </w:p>
    <w:p>
      <w:r>
        <w:rPr>
          <w:color w:val="5A7D3A"/>
          <w:sz w:val="18"/>
        </w:rPr>
        <w:t>https://pubmed.ncbi.nlm.nih.gov/42592768/</w:t>
      </w:r>
    </w:p>
    <w:p>
      <w:pPr>
        <w:pStyle w:val="Heading2"/>
      </w:pPr>
      <w:r>
        <w:t>Kritisches Fenster für Adipositas-Reversal: spanische Kinder zeigen 75 % Normalisierungsrate im Alter 2–5 Jahren</w:t>
      </w:r>
    </w:p>
    <w:p>
      <w:r>
        <w:rPr>
          <w:i/>
          <w:color w:val="666666"/>
          <w:sz w:val="18"/>
        </w:rPr>
        <w:t>González-Rivas JP et al.  ·  Nutrients  ·  27.07.2026  ·  PMID 42588077</w:t>
      </w:r>
    </w:p>
    <w:p>
      <w:r>
        <w:t>Real-World-Kohortenstudie von 37.465 spanischen Kindern und Jugendlichen (0–18 Jahre) mit Markov-Kettenanalyse zur Identifikation von BMI-Übergängen und kritischen Plastizitätsfenstern.</w:t>
      </w:r>
    </w:p>
    <w:p>
      <w:r>
        <w:rPr>
          <w:b/>
        </w:rPr>
        <w:t xml:space="preserve">Ergebnis: </w:t>
      </w:r>
      <w:r>
        <w:t>Zu Baseline 21,6 % Übergewicht/Adipositas. Markov-Analyse zeigte kritisches Fenster (2–5 Jahre): 75 % Wahrscheinlichkeit Rückkehr zu Normalgewicht. Im Alter 6–11 Jahre: 60 % Adipositas-Persistenz und 23,2 % Progression von Übergewicht zu Adipositas. Nach Baseline-Assessment scharfer initialer Abfall der z-Scores über alle Gruppen.</w:t>
      </w:r>
    </w:p>
    <w:p>
      <w:r>
        <w:rPr>
          <w:b/>
          <w:sz w:val="19"/>
        </w:rPr>
        <w:t xml:space="preserve">Übertragbarkeit: </w:t>
      </w:r>
      <w:r>
        <w:rPr>
          <w:sz w:val="19"/>
        </w:rPr>
        <w:t>Spanische Klinikkohorten, kindliche Adipositas, europäisches Versorgungsmuster</w:t>
      </w:r>
    </w:p>
    <w:p>
      <w:r>
        <w:rPr>
          <w:color w:val="5A7D3A"/>
          <w:sz w:val="18"/>
        </w:rPr>
        <w:t>https://pubmed.ncbi.nlm.nih.gov/42588077/</w:t>
      </w:r>
    </w:p>
    <w:p>
      <w:pPr>
        <w:pStyle w:val="Heading2"/>
      </w:pPr>
      <w:r>
        <w:t>Fachwissen und Barrieren bei Adipositasversorgung: irische Hausarztassistentinnen</w:t>
      </w:r>
    </w:p>
    <w:p>
      <w:r>
        <w:rPr>
          <w:i/>
          <w:color w:val="666666"/>
          <w:sz w:val="18"/>
        </w:rPr>
        <w:t>Donaghue C et al.  ·  Prim Health Care Res Dev  ·  28.07.2026  ·  PMID 42516091</w:t>
      </w:r>
    </w:p>
    <w:p>
      <w:r>
        <w:t>Querschnittserhebung von 240 Hausarztassistentinnen in Irland zu Kenntnissen, Wahrnehmungen und Hürden bei der Adipositasversorgung.</w:t>
      </w:r>
    </w:p>
    <w:p>
      <w:r>
        <w:rPr>
          <w:b/>
        </w:rPr>
        <w:t xml:space="preserve">Ergebnis: </w:t>
      </w:r>
      <w:r>
        <w:t>93 % erkennen multifaktoriale Ätiologie an; 74 % führen gern Gewichtsgespräche. Hauptbarrieren: fehlende Zeit (83 %), mangelnde Schulung (71 %), Fachkräftemangel (72 %), Kosten (67 %). 40 % berichten keine Adipositasschulung; 54 % besuchten mind. ein Webinar/Konferenz. Empfehlung: dedizierte Konsultationszeit und Fortbildung nötig.</w:t>
      </w:r>
    </w:p>
    <w:p>
      <w:r>
        <w:rPr>
          <w:b/>
          <w:sz w:val="19"/>
        </w:rPr>
        <w:t xml:space="preserve">Übertragbarkeit: </w:t>
      </w:r>
      <w:r>
        <w:rPr>
          <w:sz w:val="19"/>
        </w:rPr>
        <w:t>Irisches Primärversorgungssystem, ähnliche Herausforderungen wie deutschsprachiger Raum</w:t>
      </w:r>
    </w:p>
    <w:p>
      <w:r>
        <w:rPr>
          <w:color w:val="5A7D3A"/>
          <w:sz w:val="18"/>
        </w:rPr>
        <w:t>https://pubmed.ncbi.nlm.nih.gov/42516091/</w:t>
      </w:r>
    </w:p>
    <w:p>
      <w:pPr>
        <w:pStyle w:val="Heading1"/>
      </w:pPr>
      <w:r>
        <w:t>Aufgenommen am 26.08.2026</w:t>
      </w:r>
    </w:p>
    <w:p>
      <w:pPr>
        <w:pStyle w:val="Heading2"/>
      </w:pPr>
      <w:r>
        <w:t>Ecosyndemic Cluster in Niederlanden: Adipositas clustert räumlich mit Armut, schlechtem Umfeld und psychischer Belastung</w:t>
      </w:r>
    </w:p>
    <w:p>
      <w:r>
        <w:rPr>
          <w:i/>
          <w:color w:val="666666"/>
          <w:sz w:val="18"/>
        </w:rPr>
        <w:t>Muilwijk M et al.  ·  PLoS One  ·  14.08.2026  ·  PMID 42599915</w:t>
      </w:r>
    </w:p>
    <w:p>
      <w:r>
        <w:t>Niederländische Nachbarschafts-Clusteranalyse von 12.420 bewohnten administrativen Bezirken mit Daten zu Gesundheit, obesogener Umwelt und sozioökonomischem Status (2016).</w:t>
      </w:r>
    </w:p>
    <w:p>
      <w:r>
        <w:rPr>
          <w:b/>
        </w:rPr>
        <w:t xml:space="preserve">Ergebnis: </w:t>
      </w:r>
      <w:r>
        <w:t>Fünf Nachbarschaftscluster identifiziert. Der ‚Ecosyndemic Cluster' (n=1.070) zeigte höchste Adipositaslast (17 %), chronische Erkrankungen (36 %) und Angst/Depression (55 %), kombiniert mit ungünstiger Lebensmittelumgebung und niedriger sozioökonomischer Position. Der ‚Privilegierte Cluster' (n=6.425) hatte niedrigere Adipositasprävalenz (12 %). Räumliche Clusterung stark (Morans I=0,58).</w:t>
      </w:r>
    </w:p>
    <w:p>
      <w:r>
        <w:rPr>
          <w:b/>
          <w:sz w:val="19"/>
        </w:rPr>
        <w:t xml:space="preserve">Übertragbarkeit: </w:t>
      </w:r>
      <w:r>
        <w:rPr>
          <w:sz w:val="19"/>
        </w:rPr>
        <w:t>Niederlande, vergleichbares System; dokumentiert räumliche Ungleichheit, relevant für Verhältnisprävention.</w:t>
      </w:r>
    </w:p>
    <w:p>
      <w:r>
        <w:rPr>
          <w:color w:val="5A7D3A"/>
          <w:sz w:val="18"/>
        </w:rPr>
        <w:t>https://pubmed.ncbi.nlm.nih.gov/42599915/</w:t>
      </w:r>
    </w:p>
    <w:p>
      <w:pPr>
        <w:pStyle w:val="Heading2"/>
      </w:pPr>
      <w:r>
        <w:t>Strukturelle Determinanten der Adipositas in England: Essensumgebung und Inaktivität, nicht städtisch-ländlich</w:t>
      </w:r>
    </w:p>
    <w:p>
      <w:r>
        <w:rPr>
          <w:i/>
          <w:color w:val="666666"/>
          <w:sz w:val="18"/>
        </w:rPr>
        <w:t>Hu Y  ·  PLoS One  ·  05.08.2026  ·  PMID 42555576</w:t>
      </w:r>
    </w:p>
    <w:p>
      <w:r>
        <w:t>Räumlich-ökonomische Analyse mit 151 englischen Upper-Tier-Local-Authorities (2023/24) mittels Spatial Error Model zur Identifikation von Adipositas-Determinanten und räumlicher Variabilität.</w:t>
      </w:r>
    </w:p>
    <w:p>
      <w:r>
        <w:rPr>
          <w:b/>
        </w:rPr>
        <w:t xml:space="preserve">Ergebnis: </w:t>
      </w:r>
      <w:r>
        <w:t>Adipositasprävalenz zeigte starkes räumliches Clustering (Morans I=0,58). Spatial Error Model (AICc 806,4) übertraf OLS und Geographically Weighted Regression; eliminierte Residualautokorrelation (Morans I=−0,03). Schnellimbiss-Dichte zeigte robuste negative Assoziation (Urban Paradox); physische Inaktivität und niedriger Obst-/Gemüsekonsum waren signifikante positive Treiber. Koeffizienten waren räumlich stationär, nicht heterogen.</w:t>
      </w:r>
    </w:p>
    <w:p>
      <w:r>
        <w:rPr>
          <w:b/>
          <w:sz w:val="19"/>
        </w:rPr>
        <w:t xml:space="preserve">Übertragbarkeit: </w:t>
      </w:r>
      <w:r>
        <w:rPr>
          <w:sz w:val="19"/>
        </w:rPr>
        <w:t>England, comparable Sozialversicherungssystem; zeigt, dass nationale Strukturinterventionen (nicht ort-spezifische) erforderlich sind.</w:t>
      </w:r>
    </w:p>
    <w:p>
      <w:r>
        <w:rPr>
          <w:color w:val="5A7D3A"/>
          <w:sz w:val="18"/>
        </w:rPr>
        <w:t>https://pubmed.ncbi.nlm.nih.gov/42555576/</w:t>
      </w:r>
    </w:p>
    <w:p>
      <w:pPr>
        <w:pStyle w:val="Heading2"/>
      </w:pPr>
      <w:r>
        <w:t>Adipositas in der Kindheit verzögert Geburtsalter im Erwachsenenalter, besonders ab Alter 35</w:t>
      </w:r>
    </w:p>
    <w:p>
      <w:r>
        <w:rPr>
          <w:i/>
          <w:color w:val="666666"/>
          <w:sz w:val="18"/>
        </w:rPr>
        <w:t>Pedersen DC et al.  ·  JAMA Netw Open  ·  03.08.2026  ·  PMID 42550510</w:t>
      </w:r>
    </w:p>
    <w:p>
      <w:r>
        <w:t>Dänische bevölkerungsbasierte Längsschnittstudie von 60.864 Frauen mit Schulgesundheitsdaten (Alter 6–15 Jahre) und Reproduktionsoutcomes bis 2022; BMI-Trajektorienanalyse mit Cox-Regression.</w:t>
      </w:r>
    </w:p>
    <w:p>
      <w:r>
        <w:rPr>
          <w:b/>
        </w:rPr>
        <w:t xml:space="preserve">Ergebnis: </w:t>
      </w:r>
      <w:r>
        <w:t>Frauen mit Adipositas-Trajektorie in der Kindheit hatten niedrigere Hazard-Ratios für Geburten als Frauen mit Normalgew icht, abnehmend mit steigendem Alter (Alter 25–29 Jahre: HR 0,78; Alter 35–45 Jahre: HR 0,56). Keine Assoziation mit primärer oder jeglicher Infertilität. Verzögerung der Erstgeburt nahm mit Alter zu, besonders im späteren reproduktiven Fenster.</w:t>
      </w:r>
    </w:p>
    <w:p>
      <w:r>
        <w:rPr>
          <w:b/>
          <w:sz w:val="19"/>
        </w:rPr>
        <w:t xml:space="preserve">Übertragbarkeit: </w:t>
      </w:r>
      <w:r>
        <w:rPr>
          <w:sz w:val="19"/>
        </w:rPr>
        <w:t>Dänemark, vergleichbares Sozialversicherungssystem; dokumentiert langfristige Reproduktionsfolgen von Kindheitsobesitas.</w:t>
      </w:r>
    </w:p>
    <w:p>
      <w:r>
        <w:rPr>
          <w:color w:val="5A7D3A"/>
          <w:sz w:val="18"/>
        </w:rPr>
        <w:t>https://pubmed.ncbi.nlm.nih.gov/42550510/</w:t>
      </w:r>
    </w:p>
    <w:p>
      <w:pPr>
        <w:pStyle w:val="Heading1"/>
      </w:pPr>
      <w:r>
        <w:t>Aufgenommen am 25.08.2026</w:t>
      </w:r>
    </w:p>
    <w:p>
      <w:pPr>
        <w:pStyle w:val="Heading2"/>
      </w:pPr>
      <w:r>
        <w:t>Rauchen, Alkohol und freies Essen vorhersagen Kurzschlaf und Übergewicht in der Adoleszenz</w:t>
      </w:r>
    </w:p>
    <w:p>
      <w:r>
        <w:rPr>
          <w:i/>
          <w:color w:val="666666"/>
          <w:sz w:val="18"/>
        </w:rPr>
        <w:t>Gale EL et al.  ·  Pediatr Obes  ·  Aug. 2026  ·  PMID 42554343</w:t>
      </w:r>
    </w:p>
    <w:p>
      <w:r>
        <w:t>Sekundäranalyse der Growing Up in Scotland Birth Cohort 1 von 4157 Kindern (50,2% männlich, 10-14 Jahre) zu gemeinsamen Determinanten von Kurzschlaf und erhöhter BMIp im Alter von 14 Jahren.</w:t>
      </w:r>
    </w:p>
    <w:p>
      <w:r>
        <w:rPr>
          <w:b/>
        </w:rPr>
        <w:t xml:space="preserve">Ergebnis: </w:t>
      </w:r>
      <w:r>
        <w:t>Probiertes Rauchen und Alkohol im Alter von 12 Jahren sowie unbegrenztes Essen ab 10 Jahren waren bedeutsam (β≥|0,10|) mit kürzerem Schlaf und höherer BMIp bei 14 Jahren assoziiert. Maternaler BMI war nur mit BMIp assoziiert; schlechteres emotionales Wohlbefinden und Zuckergetränk-Konsum nur mit Kurzschlaf.</w:t>
      </w:r>
    </w:p>
    <w:p>
      <w:r>
        <w:rPr>
          <w:b/>
          <w:sz w:val="19"/>
        </w:rPr>
        <w:t xml:space="preserve">Übertragbarkeit: </w:t>
      </w:r>
      <w:r>
        <w:rPr>
          <w:sz w:val="19"/>
        </w:rPr>
        <w:t>Schottland, UK-Biobank; Präventionsperspektive auf Verhaltensrisiken in Europa übertragbar.</w:t>
      </w:r>
    </w:p>
    <w:p>
      <w:r>
        <w:rPr>
          <w:color w:val="5A7D3A"/>
          <w:sz w:val="18"/>
        </w:rPr>
        <w:t>https://pubmed.ncbi.nlm.nih.gov/42554343/</w:t>
      </w:r>
    </w:p>
    <w:p>
      <w:pPr>
        <w:pStyle w:val="Heading1"/>
      </w:pPr>
      <w:r>
        <w:t>Aufgenommen am 24.08.2026</w:t>
      </w:r>
    </w:p>
    <w:p>
      <w:pPr>
        <w:pStyle w:val="Heading2"/>
      </w:pPr>
      <w:r>
        <w:t>Motorische Aktivität bei Kindern mit Adipositas nach strukturierter Bewegungsverschreibung: geringe Effekte, hohe Zufriedenheit</w:t>
      </w:r>
    </w:p>
    <w:p>
      <w:r>
        <w:rPr>
          <w:i/>
          <w:color w:val="666666"/>
          <w:sz w:val="18"/>
        </w:rPr>
        <w:t>Törnqvist J et al.  ·  BMC Public Health  ·  20.08.2026  ·  PMID 42625158</w:t>
      </w:r>
    </w:p>
    <w:p>
      <w:r>
        <w:t>Schwedische Interventionsstudie zu einem strukturierten Programm mit individueller Beratung und Bewegungsverschreibung bei 42 Kindern (6–12 Jahre) mit Adipositas über 4 Monate.</w:t>
      </w:r>
    </w:p>
    <w:p>
      <w:r>
        <w:rPr>
          <w:b/>
        </w:rPr>
        <w:t xml:space="preserve">Ergebnis: </w:t>
      </w:r>
      <w:r>
        <w:t>Keine signifikanten Änderungen der Aktivitätsmuster nach Intervention (32 gültige Accelerometer-Datensätze), Abbruchquote 16,7 %, aber hohe Zufriedenheit bei Kindern und Eltern. Die limitierte Power und kurze Dauer könnten das Fehlen von Effekten erklären.</w:t>
      </w:r>
    </w:p>
    <w:p>
      <w:r>
        <w:rPr>
          <w:b/>
          <w:sz w:val="19"/>
        </w:rPr>
        <w:t xml:space="preserve">Übertragbarkeit: </w:t>
      </w:r>
      <w:r>
        <w:rPr>
          <w:sz w:val="19"/>
        </w:rPr>
        <w:t>Skandinavien, ähnliches öffentliches Versorgungssystem mit Primärversorgung und spezialisierter Begleitung.</w:t>
      </w:r>
    </w:p>
    <w:p>
      <w:r>
        <w:rPr>
          <w:color w:val="5A7D3A"/>
          <w:sz w:val="18"/>
        </w:rPr>
        <w:t>https://pubmed.ncbi.nlm.nih.gov/42625158/</w:t>
      </w:r>
    </w:p>
    <w:p>
      <w:pPr>
        <w:pStyle w:val="Heading2"/>
      </w:pPr>
      <w:r>
        <w:t>Chirurgische Komplikationen in der Schwangerschaft nach Adipositaschirurgie: belgische Kohortenstudie zu Risiken und Outcomes</w:t>
      </w:r>
    </w:p>
    <w:p>
      <w:r>
        <w:rPr>
          <w:i/>
          <w:color w:val="666666"/>
          <w:sz w:val="18"/>
        </w:rPr>
        <w:t>De Mulder P et al.  ·  BMJ Open  ·  20.08.2026  ·  PMID 42624584</w:t>
      </w:r>
    </w:p>
    <w:p>
      <w:r>
        <w:t>Prospektive Kohortenstudie aus belgischen Geburtskliniken (65 % aller Geburten erfasst) zu chirurgischen Komplikationen in der Schwangerschaft nach bariatrischer Chirurgie (2021–2022).</w:t>
      </w:r>
    </w:p>
    <w:p>
      <w:r>
        <w:rPr>
          <w:b/>
        </w:rPr>
        <w:t xml:space="preserve">Ergebnis: </w:t>
      </w:r>
      <w:r>
        <w:t>33 Frauen mit 35 chirurgischen Komplikationen; interne Herniation am häufigsten (n=25) nach Roux-en-Y-Bypass. Alle binnen 24 h operiert, kein Todesfall, aber 48,5 % Kaiserschnitt und 13 Frühgeburten. Frühe chirurgische Intervention war mit niedriger mütterlicher Morbidität assoziiert.</w:t>
      </w:r>
    </w:p>
    <w:p>
      <w:r>
        <w:rPr>
          <w:b/>
          <w:sz w:val="19"/>
        </w:rPr>
        <w:t xml:space="preserve">Übertragbarkeit: </w:t>
      </w:r>
      <w:r>
        <w:rPr>
          <w:sz w:val="19"/>
        </w:rPr>
        <w:t>Belgien, vergleichbares europäisches Versicherungssystem mit spezialisierter Perinatalversorgung.</w:t>
      </w:r>
    </w:p>
    <w:p>
      <w:r>
        <w:rPr>
          <w:color w:val="5A7D3A"/>
          <w:sz w:val="18"/>
        </w:rPr>
        <w:t>https://pubmed.ncbi.nlm.nih.gov/42624584/</w:t>
      </w:r>
    </w:p>
    <w:p>
      <w:pPr>
        <w:pStyle w:val="Heading2"/>
      </w:pPr>
      <w:r>
        <w:t>Verhaltensbezogene Risikofaktoren bei älteren Erwachsenen in Deutschland: Nationale Gesundheit 65+</w:t>
      </w:r>
    </w:p>
    <w:p>
      <w:r>
        <w:rPr>
          <w:i/>
          <w:color w:val="666666"/>
          <w:sz w:val="18"/>
        </w:rPr>
        <w:t>Gaertner B et al.  ·  BMC Geriatr  ·  12.08.2026  ·  PMID 42587280</w:t>
      </w:r>
    </w:p>
    <w:p>
      <w:r>
        <w:t>Deutsche nationale Querschnittsstudie der Gesundheit 65+ (2021–2022) zu Prävalenz von fünf Verhaltensrisikofaktoren und deren Kombinationen bei 3.139 älteren Erwachsenen.</w:t>
      </w:r>
    </w:p>
    <w:p>
      <w:r>
        <w:rPr>
          <w:b/>
        </w:rPr>
        <w:t xml:space="preserve">Ergebnis: </w:t>
      </w:r>
      <w:r>
        <w:t>78,4 % körperlich inaktiv, 71,8 % unzureichend Gemüse/Obst, 56,3 % Alkoholverzehr, 21,0 % Adipositas, 9,9 % Rauchen. Durchschnitt 2,4 Risikofaktoren; 83,1 % mehrfach belastet. Häufigste Kombination: Alkohol + Ernährung + Inaktivität (21,8 %).</w:t>
      </w:r>
    </w:p>
    <w:p>
      <w:r>
        <w:rPr>
          <w:b/>
          <w:sz w:val="19"/>
        </w:rPr>
        <w:t xml:space="preserve">Übertragbarkeit: </w:t>
      </w:r>
      <w:r>
        <w:rPr>
          <w:sz w:val="19"/>
        </w:rPr>
        <w:t>Deutsche Daten, Stichprobendesign für ältere Erwachsene, gültig für deutsches Gesundheitswesen.</w:t>
      </w:r>
    </w:p>
    <w:p>
      <w:r>
        <w:rPr>
          <w:color w:val="5A7D3A"/>
          <w:sz w:val="18"/>
        </w:rPr>
        <w:t>https://pubmed.ncbi.nlm.nih.gov/42587280/</w:t>
      </w:r>
    </w:p>
    <w:p>
      <w:pPr>
        <w:pStyle w:val="Heading2"/>
      </w:pPr>
      <w:r>
        <w:t>Gewichtsabnahme in der niederländischen Primärversorgung: Diätetische Intensität früh entscheidend für 5%-Ziel</w:t>
      </w:r>
    </w:p>
    <w:p>
      <w:r>
        <w:rPr>
          <w:i/>
          <w:color w:val="666666"/>
          <w:sz w:val="18"/>
        </w:rPr>
        <w:t>van de Riet A et al.  ·  Clin Obes  ·  Okt. 2026  ·  PMID 42581663</w:t>
      </w:r>
    </w:p>
    <w:p>
      <w:r>
        <w:t>Retrospektive niederländische Kohortenstudie zu Gewichtsabnahme ≥5 % (klinisch relevant) in der Primärversorgung bei 4.503 Erwachsenen mit Adipositas unter diätetischer Behandlung 2016–2020.</w:t>
      </w:r>
    </w:p>
    <w:p>
      <w:r>
        <w:rPr>
          <w:b/>
        </w:rPr>
        <w:t xml:space="preserve">Ergebnis: </w:t>
      </w:r>
      <w:r>
        <w:t>33 % erreichten ≥5 % Gewichtsabnahme, 60 % davon in den ersten 3 Monaten. Jeder zusätzliche Besuch in den ersten 3 Monaten assoziiert mit dreifacher höherer Erfolgsquote (OR 3,0), in Monaten 3–6 mit 61 % höherer Quote. Frühe Behandlungsintensität ist Schlüsselprediktor.</w:t>
      </w:r>
    </w:p>
    <w:p>
      <w:r>
        <w:rPr>
          <w:b/>
          <w:sz w:val="19"/>
        </w:rPr>
        <w:t xml:space="preserve">Übertragbarkeit: </w:t>
      </w:r>
      <w:r>
        <w:rPr>
          <w:sz w:val="19"/>
        </w:rPr>
        <w:t>Niederlande, vergleichbares Versicherungssystem mit Primärversorgung und spezialisierter Diätetik.</w:t>
      </w:r>
    </w:p>
    <w:p>
      <w:r>
        <w:rPr>
          <w:color w:val="5A7D3A"/>
          <w:sz w:val="18"/>
        </w:rPr>
        <w:t>https://pubmed.ncbi.nlm.nih.gov/42581663/</w:t>
      </w:r>
    </w:p>
    <w:p>
      <w:pPr>
        <w:pStyle w:val="Heading2"/>
      </w:pPr>
      <w:r>
        <w:t>Klinische vs. präklinische Adipositas: Neue Definitionen zeigen unterschiedliche Morbiditätslasten bei Chirurgie-Kandidaten</w:t>
      </w:r>
    </w:p>
    <w:p>
      <w:r>
        <w:rPr>
          <w:i/>
          <w:color w:val="666666"/>
          <w:sz w:val="18"/>
        </w:rPr>
        <w:t>Cremona S et al.  ·  JAMA Netw Open  ·  03.08.2026  ·  PMID 42579277</w:t>
      </w:r>
    </w:p>
    <w:p>
      <w:r>
        <w:t>Internationale multizentrische Querschnittsstudie von 2.316 Patienten, die sich einer bariatrischen Chirurgie (2014–2025) in Großbritannien, Spanien, Frankreich und Brasilien unterzogen, zum Vergleich klinischer (73,8 %) vs. präklinischer Adipositas (26,2 %) hinsichtlich Organschäden und perioperativer Risiken.</w:t>
      </w:r>
    </w:p>
    <w:p>
      <w:r>
        <w:rPr>
          <w:b/>
        </w:rPr>
        <w:t xml:space="preserve">Ergebnis: </w:t>
      </w:r>
      <w:r>
        <w:t>Klinische Adipositas in allen Zentren häufiger (62,7–79,3 %). Trotz ähnlicher BMI-Verteilung: Patienten mit klinischer Adipositas älter, höhere ASA-Klasse, höheres kardiovaskuläres Risiko und Komorbiditäten. Erhöhtes Risiko für Komplikationen Grad ≥3 in Frankreich (4,0 % vs. 1,1 %, p=0,04). Die neue Definition unterscheidet nicht nur durch Gewicht, sondern durch Organdysfunktion.</w:t>
      </w:r>
    </w:p>
    <w:p>
      <w:r>
        <w:rPr>
          <w:b/>
          <w:sz w:val="19"/>
        </w:rPr>
        <w:t xml:space="preserve">Übertragbarkeit: </w:t>
      </w:r>
      <w:r>
        <w:rPr>
          <w:sz w:val="19"/>
        </w:rPr>
        <w:t>Multinational, aber Erkenntnis zur Phänotypisierung unabhängig von Kostenübernahme, relevant für deutsches Verfahren zur Einzelfallgenehmigung.</w:t>
      </w:r>
    </w:p>
    <w:p>
      <w:r>
        <w:rPr>
          <w:color w:val="5A7D3A"/>
          <w:sz w:val="18"/>
        </w:rPr>
        <w:t>https://pubmed.ncbi.nlm.nih.gov/42579277/</w:t>
      </w:r>
    </w:p>
    <w:p>
      <w:pPr>
        <w:pStyle w:val="Heading2"/>
      </w:pPr>
      <w:r>
        <w:t>Subsidierte Semaglutide bei isländischen Kindern mit Adipositas: Gewichtsverlauf unter universeller Erstattung</w:t>
      </w:r>
    </w:p>
    <w:p>
      <w:r>
        <w:rPr>
          <w:i/>
          <w:color w:val="666666"/>
          <w:sz w:val="18"/>
        </w:rPr>
        <w:t>Thorsteinsdottir S et al.  ·  Pediatr Obes  ·  Aug. 2026  ·  PMID 42543796</w:t>
      </w:r>
    </w:p>
    <w:p>
      <w:r>
        <w:t>Isländische nationale Kohortenstudie zu klinischen Outcomes unter subsidierter Semaglutide bei 113 Kindern (≥12 Jahre) mit Adipositas Grad 2 von März 2021 bis Juni 2025.</w:t>
      </w:r>
    </w:p>
    <w:p>
      <w:r>
        <w:rPr>
          <w:b/>
        </w:rPr>
        <w:t xml:space="preserve">Ergebnis: </w:t>
      </w:r>
      <w:r>
        <w:t>Semaglutide kehrte bestehenden aufwärts gerichteten Gewichtstrend um: −0,86 %IOTF30/Monat (95% KI −1,06 bis −0,66). Nach 6 Monaten −5,17 pp, nach 12 Monaten −10,33 pp. 63 % erreichten ≥10 pp Reduktion. Neurodevelopmentale Störungen modifizierten Antwort nicht signifikant (Analyse unterpowered). Universelle Erstattung ermöglichte hohe Persistenz.</w:t>
      </w:r>
    </w:p>
    <w:p>
      <w:r>
        <w:rPr>
          <w:b/>
          <w:sz w:val="19"/>
        </w:rPr>
        <w:t xml:space="preserve">Übertragbarkeit: </w:t>
      </w:r>
      <w:r>
        <w:rPr>
          <w:sz w:val="19"/>
        </w:rPr>
        <w:t>Island, universelles Erstattungssystem für GLP-1 RA bei Kindern – direktes Modell für Politikansätze jenseits restriktiver SGB-V-Regelung.</w:t>
      </w:r>
    </w:p>
    <w:p>
      <w:r>
        <w:rPr>
          <w:color w:val="5A7D3A"/>
          <w:sz w:val="18"/>
        </w:rPr>
        <w:t>https://pubmed.ncbi.nlm.nih.gov/42543796/</w:t>
      </w:r>
    </w:p>
    <w:p>
      <w:pPr>
        <w:pStyle w:val="Heading1"/>
      </w:pPr>
      <w:r>
        <w:t>Aufgenommen am 20.08.2026</w:t>
      </w:r>
    </w:p>
    <w:p>
      <w:pPr>
        <w:pStyle w:val="Heading2"/>
      </w:pPr>
      <w:r>
        <w:t>Semaglutid reduzierte Kognitives Leistungsdefizit bei Erwachsenen mit psychiatrischen Diagnosen</w:t>
      </w:r>
    </w:p>
    <w:p>
      <w:r>
        <w:rPr>
          <w:i/>
          <w:color w:val="666666"/>
          <w:sz w:val="18"/>
        </w:rPr>
        <w:t>De Giorgi R et al.  ·  BMJ Ment Health  ·  20.08.2026  ·  PMID 42624612</w:t>
      </w:r>
    </w:p>
    <w:p>
      <w:r>
        <w:t>Retrospektive Kohortenstudie (US EHR-Daten, 13 007 Patienten mit psychiatrischen Diagnosen) verglich Semaglutid mit anderen Antidiabetika bezüglich 12-Monats-Veränderungen eines klinisch bewerteten kognitiven Composite-Scores (0–100 Skala).</w:t>
      </w:r>
    </w:p>
    <w:p>
      <w:r>
        <w:rPr>
          <w:b/>
        </w:rPr>
        <w:t xml:space="preserve">Ergebnis: </w:t>
      </w:r>
      <w:r>
        <w:t>Unter Semaglutid betrug der mittlere kognitive Symptom-Score 11,14 vs. 14,91 (Kontrolle), entsprechend MR 0,75 (95%-CI 0,65–0,85, p = 0,00002), 13,46 (Glipizid, MR 0,83, p = 0,041) und 13,69 (Empagliflozin, MR 0,81, p = 0,016). Stärkere Effekte bei Memory und Depression.</w:t>
      </w:r>
    </w:p>
    <w:p>
      <w:r>
        <w:rPr>
          <w:b/>
          <w:sz w:val="19"/>
        </w:rPr>
        <w:t xml:space="preserve">Übertragbarkeit: </w:t>
      </w:r>
      <w:r>
        <w:rPr>
          <w:sz w:val="19"/>
        </w:rPr>
        <w:t>USA-EHR-Daten; Befund zu kognitiven Funktionen jenseits der Glykämie versorgungsunabhängig, aber Semaglutid-Zugang in Deutschland § 34 SGB V ausgeschlossen.</w:t>
      </w:r>
    </w:p>
    <w:p>
      <w:r>
        <w:rPr>
          <w:color w:val="5A7D3A"/>
          <w:sz w:val="18"/>
        </w:rPr>
        <w:t>https://pubmed.ncbi.nlm.nih.gov/42624612/</w:t>
      </w:r>
    </w:p>
    <w:p>
      <w:pPr>
        <w:pStyle w:val="Heading2"/>
      </w:pPr>
      <w:r>
        <w:t>Diabetes, Adipositas und metabolisches Syndrom verschärfen alkoholassoziierte Lebererkrankung erheblich</w:t>
      </w:r>
    </w:p>
    <w:p>
      <w:r>
        <w:rPr>
          <w:i/>
          <w:color w:val="666666"/>
          <w:sz w:val="18"/>
        </w:rPr>
        <w:t>Peddu DK et al.  ·  Hepatol Commun  ·  01.09.2026  ·  PMID 42623525</w:t>
      </w:r>
    </w:p>
    <w:p>
      <w:r>
        <w:t>Systematische Übersicht (19 Studien, 132 054 Patienten mit alkoholassoziierter Lebererkrankung) zu Auswirkungen von Diabetes, Adipositas und metabolischem Syndrom auf Leberprognose.</w:t>
      </w:r>
    </w:p>
    <w:p>
      <w:r>
        <w:rPr>
          <w:b/>
        </w:rPr>
        <w:t xml:space="preserve">Ergebnis: </w:t>
      </w:r>
      <w:r>
        <w:t>Diabetes erhöhte Gesamtmortalität (aHR 3,00), leberbedingte Mortalität (aHR 3,60) und HCC-Risiko (HR 1,6–21,7). Erhöhtes BMI verdoppelte kardiovaskuläre Mortalität (aHR 3,76) und HCC-Inzidenz (HR 2,0–2,9). Höhere Komorbiditätsbelastung korrelierte mit reduzierter transplantationsfreier Überlebenszeit.</w:t>
      </w:r>
    </w:p>
    <w:p>
      <w:r>
        <w:rPr>
          <w:b/>
          <w:sz w:val="19"/>
        </w:rPr>
        <w:t xml:space="preserve">Übertragbarkeit: </w:t>
      </w:r>
      <w:r>
        <w:rPr>
          <w:sz w:val="19"/>
        </w:rPr>
        <w:t>Überwiegend USA und internationale Daten; Befund zur Verschärfung der Prognose versorgungsunabhängig relevant.</w:t>
      </w:r>
    </w:p>
    <w:p>
      <w:r>
        <w:rPr>
          <w:color w:val="5A7D3A"/>
          <w:sz w:val="18"/>
        </w:rPr>
        <w:t>https://pubmed.ncbi.nlm.nih.gov/42623525/</w:t>
      </w:r>
    </w:p>
    <w:p>
      <w:pPr>
        <w:pStyle w:val="Heading2"/>
      </w:pPr>
      <w:r>
        <w:t>Mediterrane Ernährung versus Energierestriktion: keine Gewichtsvorteil nach 2 Jahren</w:t>
      </w:r>
    </w:p>
    <w:p>
      <w:r>
        <w:rPr>
          <w:i/>
          <w:color w:val="666666"/>
          <w:sz w:val="18"/>
        </w:rPr>
        <w:t>Keyserling TC et al.  ·  JAMA Netw Open  ·  03.08.2026  ·  PMID 42623075</w:t>
      </w:r>
    </w:p>
    <w:p>
      <w:r>
        <w:t>Randomisierte Studie (DELISH) verglich über 24 Monate eine mediterran geprägte Gewichtsabnahmeintervention mit kontrollierter WW-basierter Energierestriktion bei 360 Patienten mit BMI ≥ 30 aus Primärversorgung.</w:t>
      </w:r>
    </w:p>
    <w:p>
      <w:r>
        <w:rPr>
          <w:b/>
        </w:rPr>
        <w:t xml:space="preserve">Ergebnis: </w:t>
      </w:r>
      <w:r>
        <w:t>Gewichtsabnahme war zwischen Gruppen identisch: –3,40 % (mediterranes Programm) vs. –3,51 % (Kontrolle), Differenz 0,11 % (p = 0,90). Mediterrane Gruppe erreichte bessere Ernährungsqualität (AHEI +3,62 Punkte, p = 0,005), aber keine Gewichtsvorteil.</w:t>
      </w:r>
    </w:p>
    <w:p>
      <w:r>
        <w:rPr>
          <w:b/>
          <w:sz w:val="19"/>
        </w:rPr>
        <w:t xml:space="preserve">Übertragbarkeit: </w:t>
      </w:r>
      <w:r>
        <w:rPr>
          <w:sz w:val="19"/>
        </w:rPr>
        <w:t>USA, jedoch primäre Outcome (Gewichtsabnahme) ist versorgungsunabhängig übertragbar.</w:t>
      </w:r>
    </w:p>
    <w:p>
      <w:r>
        <w:rPr>
          <w:color w:val="5A7D3A"/>
          <w:sz w:val="18"/>
        </w:rPr>
        <w:t>https://pubmed.ncbi.nlm.nih.gov/42623075/</w:t>
      </w:r>
    </w:p>
    <w:p>
      <w:pPr>
        <w:pStyle w:val="Heading2"/>
      </w:pPr>
      <w:r>
        <w:t>Life's Essential 8 Scores und fortgeschrittenes kardiovaskulär-renal-metabolisches Syndrom: Nationale Querschnittsanalyse Korea</w:t>
      </w:r>
    </w:p>
    <w:p>
      <w:r>
        <w:rPr>
          <w:i/>
          <w:color w:val="666666"/>
          <w:sz w:val="18"/>
        </w:rPr>
        <w:t>Lim JA et al.  ·  Front Endocrinol (Lausanne)  ·  05.08.2026  ·  PMID 42620640</w:t>
      </w:r>
    </w:p>
    <w:p>
      <w:r>
        <w:t>Querschnittsanalyse von 17 351 koreanischen Erwachsenen (Korea NHNES 2019–2021, 2024) zur Assoziation von Verhaltens- und Gesundheitsfaktoren (Life's Essential 8) mit Stadium ≥3 des kardiovaskulär-renal-metabolischen Syndroms.</w:t>
      </w:r>
    </w:p>
    <w:p>
      <w:r>
        <w:rPr>
          <w:b/>
        </w:rPr>
        <w:t xml:space="preserve">Ergebnis: </w:t>
      </w:r>
      <w:r>
        <w:t>Jede 10-Punkte-Erhöhung des LE8-Scores reduzierte das Risiko für fortgeschrittenes CKM um aOR 0,765 (95%-CI 0,716–0,818). Personen im niedrigsten LE8-Quintil hatten 3,32-fach höhere Odds als im höchsten (95%-CI 2,30–4,80). Verhaltenskomponenten blieben über alle CKM-Stadien stabil assoziiert.</w:t>
      </w:r>
    </w:p>
    <w:p>
      <w:r>
        <w:rPr>
          <w:b/>
          <w:sz w:val="19"/>
        </w:rPr>
        <w:t xml:space="preserve">Übertragbarkeit: </w:t>
      </w:r>
      <w:r>
        <w:rPr>
          <w:sz w:val="19"/>
        </w:rPr>
        <w:t>Korea mit ähnlichem Dokumentationssystem; Asien, aber Bevölkerungsmessungen auf NHANES-Basis anwendbar.</w:t>
      </w:r>
    </w:p>
    <w:p>
      <w:r>
        <w:rPr>
          <w:color w:val="5A7D3A"/>
          <w:sz w:val="18"/>
        </w:rPr>
        <w:t>https://pubmed.ncbi.nlm.nih.gov/42620640/</w:t>
      </w:r>
    </w:p>
    <w:p>
      <w:pPr>
        <w:pStyle w:val="Heading2"/>
      </w:pPr>
      <w:r>
        <w:t>COVID-19-Lockdown erhöhte BMI bei Kindern, jüngere Kinder zeigen verzögerten Rückgang</w:t>
      </w:r>
    </w:p>
    <w:p>
      <w:r>
        <w:rPr>
          <w:i/>
          <w:color w:val="666666"/>
          <w:sz w:val="18"/>
        </w:rPr>
        <w:t>Mukasa R et al.  ·  Pediatr Int  ·  Jan. 2026  ·  PMID 42619363</w:t>
      </w:r>
    </w:p>
    <w:p>
      <w:r>
        <w:t>Längsschnittstudie anhand von Schulgesundheitsuntersuchungen in Japan (n = 711 Kinder, Messungen April 2018–April 2021) zu Alter- und Geschlechtsspezifischen BMI-Veränderungen während Lockdown und Erholung.</w:t>
      </w:r>
    </w:p>
    <w:p>
      <w:r>
        <w:rPr>
          <w:b/>
        </w:rPr>
        <w:t xml:space="preserve">Ergebnis: </w:t>
      </w:r>
      <w:r>
        <w:t>Während Lockdown stiegen BMI bei Jungen (16,60 auf 17,08 kg/m², p = 0,04) und Mädchen (16,39 auf 16,78 kg/m², p = 0,03). Kinder der Klasse 2 (7–8 Jahre) zeigten 10 Monate nach Lockdown anhaltende BMI-SDS-Erhöhungen (beide Geschlechter p &lt; 0,01); ältere Kinder erholten sich besser mit deutlichen Geschlechtsunterschieden (p &lt; 0,05).</w:t>
      </w:r>
    </w:p>
    <w:p>
      <w:r>
        <w:rPr>
          <w:b/>
          <w:sz w:val="19"/>
        </w:rPr>
        <w:t xml:space="preserve">Übertragbarkeit: </w:t>
      </w:r>
      <w:r>
        <w:rPr>
          <w:sz w:val="19"/>
        </w:rPr>
        <w:t>Japan, vergleichbare Schulgesundheitsdokumentation; Befund zu altersgestaffelten Reaktionen auf Lebensstilstörung übertragbar.</w:t>
      </w:r>
    </w:p>
    <w:p>
      <w:r>
        <w:rPr>
          <w:color w:val="5A7D3A"/>
          <w:sz w:val="18"/>
        </w:rPr>
        <w:t>https://pubmed.ncbi.nlm.nih.gov/42619363/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Adipositas</dc:title>
  <dc:subject/>
  <dc:creator>Monitor Versorgungsforschung</dc:creator>
  <cp:keywords/>
  <dc:description>generated by python-docx</dc:description>
  <cp:lastModifiedBy/>
  <cp:revision>1</cp:revision>
  <dcterms:created xsi:type="dcterms:W3CDTF">2026-10-07T06:00:00Z</dcterms:created>
  <dcterms:modified xsi:type="dcterms:W3CDTF">2026-10-07T06:00:00Z</dcterms:modified>
  <cp:category/>
</cp:coreProperties>
</file>