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Adipositas</w:t>
      </w:r>
    </w:p>
    <w:p>
      <w:r>
        <w:rPr>
          <w:i/>
          <w:color w:val="666666"/>
          <w:sz w:val="18"/>
        </w:rPr>
        <w:t>Stand: 28.09.2026  |  221 Studien  |  adipositas.m-vf.de</w:t>
      </w:r>
    </w:p>
    <w:p>
      <w:pPr>
        <w:pStyle w:val="Heading1"/>
      </w:pPr>
      <w:r>
        <w:t>Aufgenommen am 28.09.2026</w:t>
      </w:r>
    </w:p>
    <w:p>
      <w:pPr>
        <w:pStyle w:val="Heading2"/>
      </w:pPr>
      <w:r>
        <w:t>Teleintervention-Nachsorge stabilisierte Gewicht und Lebensqualität nach Kindheitsadipositasbehandlung</w:t>
      </w:r>
    </w:p>
    <w:p>
      <w:r>
        <w:rPr>
          <w:i/>
          <w:color w:val="666666"/>
          <w:sz w:val="18"/>
        </w:rPr>
        <w:t>Wittmann A et al.  ·  Pediatr Obes  ·  Okt. 2026  ·  PMID 42802014</w:t>
      </w:r>
    </w:p>
    <w:p>
      <w:r>
        <w:t>Systematische Übersicht von Studien zu Teleintervention-Nachsorgeprogrammen für Kinder und Jugendliche nach strukturierter Adipositasbehandlung mit Fokus auf Lebensstiländerung und psychosoziale Ergebnisse.</w:t>
      </w:r>
    </w:p>
    <w:p>
      <w:r>
        <w:rPr>
          <w:b/>
        </w:rPr>
        <w:t xml:space="preserve">Ergebnis: </w:t>
      </w:r>
      <w:r>
        <w:t>8 Studien (6 RCTs, 2 Vorher-nachher): Teleintervention-Programme waren mit Stabilisierung des erreichten Gewichts verbunden, nicht mit zusätzlichem Gewichtsverlust. Konsistent zeigten sich Verbesserungen psychosozialer Ergebnisse, Lebensstiländerungen (z. B. Bildschirmzeit), BMI-Stabilisierung und substantielle Reduktion von Arztbesuchen und Kosten. Hohe Machbarkeit dokumentiert; menschliche Komponente kann notwendig sein.</w:t>
      </w:r>
    </w:p>
    <w:p>
      <w:r>
        <w:rPr>
          <w:b/>
          <w:sz w:val="19"/>
        </w:rPr>
        <w:t xml:space="preserve">Übertragbarkeit: </w:t>
      </w:r>
      <w:r>
        <w:rPr>
          <w:sz w:val="19"/>
        </w:rPr>
        <w:t>Deutschland, europäische Gesundheitssysteme – vergleichbare Strukturen der Adipositasbehandlung im Kindesalter.</w:t>
      </w:r>
    </w:p>
    <w:p>
      <w:r>
        <w:rPr>
          <w:color w:val="5A7D3A"/>
          <w:sz w:val="18"/>
        </w:rPr>
        <w:t>https://pubmed.ncbi.nlm.nih.gov/42802014/</w:t>
      </w:r>
    </w:p>
    <w:p>
      <w:pPr>
        <w:pStyle w:val="Heading2"/>
      </w:pPr>
      <w:r>
        <w:t>Psychosoziale Belastung in der Schwangerschaft prägte Übergewicht im Kleinkindalter</w:t>
      </w:r>
    </w:p>
    <w:p>
      <w:r>
        <w:rPr>
          <w:i/>
          <w:color w:val="666666"/>
          <w:sz w:val="18"/>
        </w:rPr>
        <w:t>Kim CN et al.  ·  Pediatr Obes  ·  Okt. 2026  ·  PMID 42802012</w:t>
      </w:r>
    </w:p>
    <w:p>
      <w:r>
        <w:t>Sekundäranalyse von 533 Schwangeren aus hispanischen Familien mit nierigem Einkommen; latente Klassenanalyse identifizierte Schwangerengruppen nach Stressoren und materialen Schwierigkeiten; Assoziation mit Kindgewicht im Alter von 2 Jahren.</w:t>
      </w:r>
    </w:p>
    <w:p>
      <w:r>
        <w:rPr>
          <w:b/>
        </w:rPr>
        <w:t xml:space="preserve">Ergebnis: </w:t>
      </w:r>
      <w:r>
        <w:t>Drei identifizierte Gruppen: Nicht-US-geboren/weniger Stressoren (51 %), Nicht-US-geboren/mehr Stressoren (25 %), US-geboren/weniger Stressoren (24 %). Kinder von Müttern mit höheren Stressoren hatten höhere Gewicht-für-Alter-z-Scores (Mdiff = 0,61, p = 0,003) und höhere Quote von Übergewicht/Adipositas (aOR = 2,83, p = 0,007) als Vergleichsgruppen. Psychosoziale Stressoren und materiale Schwierigkeiten in der Schwangerschaft sind Risikofaktoren.</w:t>
      </w:r>
    </w:p>
    <w:p>
      <w:r>
        <w:rPr>
          <w:b/>
          <w:sz w:val="19"/>
        </w:rPr>
        <w:t xml:space="preserve">Übertragbarkeit: </w:t>
      </w:r>
      <w:r>
        <w:rPr>
          <w:sz w:val="19"/>
        </w:rPr>
        <w:t>USA, begrenzte Übertragbarkeit – aber psychosoziale Mechanismen relevant für deutschsprachigen Raum.</w:t>
      </w:r>
    </w:p>
    <w:p>
      <w:r>
        <w:rPr>
          <w:color w:val="5A7D3A"/>
          <w:sz w:val="18"/>
        </w:rPr>
        <w:t>https://pubmed.ncbi.nlm.nih.gov/42802012/</w:t>
      </w:r>
    </w:p>
    <w:p>
      <w:pPr>
        <w:pStyle w:val="Heading2"/>
      </w:pPr>
      <w:r>
        <w:t>Mittelmeerdiät senkte Übergewichtsrisiko im Kindesalter um 0,42 kg/m²</w:t>
      </w:r>
    </w:p>
    <w:p>
      <w:r>
        <w:rPr>
          <w:i/>
          <w:color w:val="666666"/>
          <w:sz w:val="18"/>
        </w:rPr>
        <w:t>Gholami Shahrbabak M et al.  ·  Pediatr Obes  ·  Okt. 2026  ·  PMID 42802010</w:t>
      </w:r>
    </w:p>
    <w:p>
      <w:r>
        <w:t>Meta-Analyse von 23 Kohortenstudien (26 Studien) zu Mittelmeerdiät-Adhärenz und Übergewicht/Adipositas bei Kindern und Jugendlichen bis Oktober 2025.</w:t>
      </w:r>
    </w:p>
    <w:p>
      <w:r>
        <w:rPr>
          <w:b/>
        </w:rPr>
        <w:t xml:space="preserve">Ergebnis: </w:t>
      </w:r>
      <w:r>
        <w:t>BMI in Kindern mit höherer Mittelmeerdiät-Adhärenz war signifikant niedriger (gewichtetes Mittelwertdifferenz –0,42 kg/m², 95%-KI –0,61 bis –0,23, p &lt; 0,001). Kinder mit Übergewicht zeigten niedrigere Adhärenz-Scores als Normalgewichtige (–0,44 Punkte, p &lt; 0,001). Heterogenität substantiell, Evidenz ausschließlich querschnittlich.</w:t>
      </w:r>
    </w:p>
    <w:p>
      <w:r>
        <w:rPr>
          <w:b/>
          <w:sz w:val="19"/>
        </w:rPr>
        <w:t xml:space="preserve">Übertragbarkeit: </w:t>
      </w:r>
      <w:r>
        <w:rPr>
          <w:sz w:val="19"/>
        </w:rPr>
        <w:t>Südeuropa, Mittelmeerraum – aber Ergebnis unabhängig von Gesundheitssystem übertragbar; Basis für Präventionsempfehlungen.</w:t>
      </w:r>
    </w:p>
    <w:p>
      <w:r>
        <w:rPr>
          <w:color w:val="5A7D3A"/>
          <w:sz w:val="18"/>
        </w:rPr>
        <w:t>https://pubmed.ncbi.nlm.nih.gov/42802010/</w:t>
      </w:r>
    </w:p>
    <w:p>
      <w:pPr>
        <w:pStyle w:val="Heading2"/>
      </w:pPr>
      <w:r>
        <w:t>Ethnische Segregation und Schulumgebung prägen Adipositasunterschiede im Kindesalter</w:t>
      </w:r>
    </w:p>
    <w:p>
      <w:r>
        <w:rPr>
          <w:i/>
          <w:color w:val="666666"/>
          <w:sz w:val="18"/>
        </w:rPr>
        <w:t>Miller S et al.  ·  Pediatr Obes  ·  Okt. 2026  ·  PMID 42802009</w:t>
      </w:r>
    </w:p>
    <w:p>
      <w:r>
        <w:t>Beobachtungsstudie mit Daten von kalifornischen Schulkindern 2018/2019; Analyse, wie ethnische Disparitäten in Übergewicht/Adipositas nach Ethnische Zusammensetzung der Schule und Armutsstatus des Schulviertels variieren.</w:t>
      </w:r>
    </w:p>
    <w:p>
      <w:r>
        <w:rPr>
          <w:b/>
        </w:rPr>
        <w:t xml:space="preserve">Ergebnis: </w:t>
      </w:r>
      <w:r>
        <w:t>Disparitäten zwischen Schwarzen, lateinamerikanischen und weißen Kindern variierten stark nach Schulkontext. In integrierten niedrig-income-Schulen waren Black vs. White-Disparitäten 3 Prozentpunkte, in segregierten high-income-Schulen 22 Prozentpunkte. Größte Disparität zwischen Minderheitskindern in segregierten Schulen gegen weiße Kinder in segregierten reichen Schulen (23-28 Prozentpunkte).</w:t>
      </w:r>
    </w:p>
    <w:p>
      <w:r>
        <w:rPr>
          <w:b/>
          <w:sz w:val="19"/>
        </w:rPr>
        <w:t xml:space="preserve">Übertragbarkeit: </w:t>
      </w:r>
      <w:r>
        <w:rPr>
          <w:sz w:val="19"/>
        </w:rPr>
        <w:t>USA, kalifornischer Kontext – aber Befund zu Segregation und Armut relevant für deutsche Stadt-Land-Disparitäten.</w:t>
      </w:r>
    </w:p>
    <w:p>
      <w:r>
        <w:rPr>
          <w:color w:val="5A7D3A"/>
          <w:sz w:val="18"/>
        </w:rPr>
        <w:t>https://pubmed.ncbi.nlm.nih.gov/42802009/</w:t>
      </w:r>
    </w:p>
    <w:p>
      <w:pPr>
        <w:pStyle w:val="Heading2"/>
      </w:pPr>
      <w:r>
        <w:t>Ernährungsqualität und Gestationsgewichtszunahme in australischen Ureinwohner-Schwangerschaften</w:t>
      </w:r>
    </w:p>
    <w:p>
      <w:r>
        <w:rPr>
          <w:i/>
          <w:color w:val="666666"/>
          <w:sz w:val="18"/>
        </w:rPr>
        <w:t>Jiménez-Flores E et al.  ·  Nutrients  ·  20.09.2026  ·  PMID 42797057</w:t>
      </w:r>
    </w:p>
    <w:p>
      <w:r>
        <w:t>Querschnittsanalyse von Schwangeren (n = 52, Zielgruppe: Aborigines und Torres-Strait-Islander) aus zwei australischen Kliniken; Australian Recommended Food Score (ARFS) bei Aufnahme und Ernährungsunterstützungs-Engagement.</w:t>
      </w:r>
    </w:p>
    <w:p>
      <w:r>
        <w:rPr>
          <w:b/>
        </w:rPr>
        <w:t xml:space="preserve">Ergebnis: </w:t>
      </w:r>
      <w:r>
        <w:t>Medianer ARFS 39 von 73. Frauen &gt; 25 Jahre hatten höhere ARFS (β = 3,28, p = 0,027). Fruchtkonsum stieg bis späte Schwangerschaft (McNemar p = 0,004). Hoher Konsum energiedichter Getränke/Snacks (60-68 %). Von 52 Frauen: 15,4 % normale Gewichtszunahme, 57,7 % übermäßig. In hochem Ernährungsunterstützungs-Engagement: 24,0 % vs. 7,4 % normales Gewicht (p ≤ 0,001).</w:t>
      </w:r>
    </w:p>
    <w:p>
      <w:r>
        <w:rPr>
          <w:b/>
          <w:sz w:val="19"/>
        </w:rPr>
        <w:t xml:space="preserve">Übertragbarkeit: </w:t>
      </w:r>
      <w:r>
        <w:rPr>
          <w:sz w:val="19"/>
        </w:rPr>
        <w:t>Australien, vergleichbar mit DACH-Systemen – aber indigene Bevölkerung, kulturelle Faktoren relevant für Übertragbarkeit.</w:t>
      </w:r>
    </w:p>
    <w:p>
      <w:r>
        <w:rPr>
          <w:color w:val="5A7D3A"/>
          <w:sz w:val="18"/>
        </w:rPr>
        <w:t>https://pubmed.ncbi.nlm.nih.gov/42797057/</w:t>
      </w:r>
    </w:p>
    <w:p>
      <w:pPr>
        <w:pStyle w:val="Heading2"/>
      </w:pPr>
      <w:r>
        <w:t>Edmonton- und Lancet-Klassifikation unterscheiden Adipositasschweregrad unterschiedlich</w:t>
      </w:r>
    </w:p>
    <w:p>
      <w:r>
        <w:rPr>
          <w:i/>
          <w:color w:val="666666"/>
          <w:sz w:val="18"/>
        </w:rPr>
        <w:t>Hagemann T et al.  ·  Obesity (Silver Spring)  ·  01.09.2026  ·  PMID 42680509</w:t>
      </w:r>
    </w:p>
    <w:p>
      <w:r>
        <w:t>Vergleich zweier Klassifikationssysteme (Edmonton Obesity Staging System und Lancet Diagnostic Model for Obesity) angewandt auf UK-Biobank-Daten (N ≈ 411.000) zur Beurteilung von Adipositasschweregrad.</w:t>
      </w:r>
    </w:p>
    <w:p>
      <w:r>
        <w:rPr>
          <w:b/>
        </w:rPr>
        <w:t xml:space="preserve">Ergebnis: </w:t>
      </w:r>
      <w:r>
        <w:t>Etwa ein Viertel in beiden Systemen als adipös klassifiziert; hohe Konkordanz bei fortgeschrittener Erkrankung. Unterschiede in Frühstadien: Lancet-Modell erfasste mildere subklinische Organdysfunktion breiter, Edmonton betonte fortgeschrittene Manifestationen. ~50 % reklassifiziert wenn BMI mit Fettverteilungsmaßen kombiniert. Systeme ergänzen sich conceptuell.</w:t>
      </w:r>
    </w:p>
    <w:p>
      <w:r>
        <w:rPr>
          <w:b/>
          <w:sz w:val="19"/>
        </w:rPr>
        <w:t xml:space="preserve">Übertragbarkeit: </w:t>
      </w:r>
      <w:r>
        <w:rPr>
          <w:sz w:val="19"/>
        </w:rPr>
        <w:t>UK-Biobank-Daten, übertragbare Methodologie – aber Klassifikation hängt von Anerkennung und Kodierung ab.</w:t>
      </w:r>
    </w:p>
    <w:p>
      <w:r>
        <w:rPr>
          <w:color w:val="5A7D3A"/>
          <w:sz w:val="18"/>
        </w:rPr>
        <w:t>https://pubmed.ncbi.nlm.nih.gov/42680509/</w:t>
      </w:r>
    </w:p>
    <w:p>
      <w:pPr>
        <w:pStyle w:val="Heading1"/>
      </w:pPr>
      <w:r>
        <w:t>Aufgenommen am 27.09.2026</w:t>
      </w:r>
    </w:p>
    <w:p>
      <w:pPr>
        <w:pStyle w:val="Heading2"/>
      </w:pPr>
      <w:r>
        <w:t>Ernährungsverhalten vermittelt Erfolg von Adipositas-Intervention bei Kindern: Analyse der DECIDE-Studie</w:t>
      </w:r>
    </w:p>
    <w:p>
      <w:r>
        <w:rPr>
          <w:i/>
          <w:color w:val="666666"/>
          <w:sz w:val="18"/>
        </w:rPr>
        <w:t>Zhang L et al.  ·  Nutrients  ·  18.09.2026  ·  PMID 42797034</w:t>
      </w:r>
    </w:p>
    <w:p>
      <w:r>
        <w:t>Cluster-randomisierte Studie mit 1.180 Kindern, die eine 9-monatige Multiplikations-Intervention erhielten (Gesundheitsbildung, Aktivitätsförderung, App-gestützte BMI-Überwachung und Umweltveränderungen in Schulen und Familien).</w:t>
      </w:r>
    </w:p>
    <w:p>
      <w:r>
        <w:rPr>
          <w:b/>
        </w:rPr>
        <w:t xml:space="preserve">Ergebnis: </w:t>
      </w:r>
      <w:r>
        <w:t>Die Intervention senkte die Gesamtkörperfettmasse um 1,003 % und erhöhte die fettfreie Masse; die Ernährungsverhalten vermittelten 16,1 % dieses Effekts, während körperliche Aktivität keine signifikante Mediatorrolle zeigte. Bildschirmzeit und moderate-intensive körperliche Aktivität zeigten keine Mediation.</w:t>
      </w:r>
    </w:p>
    <w:p>
      <w:r>
        <w:rPr>
          <w:b/>
          <w:sz w:val="19"/>
        </w:rPr>
        <w:t xml:space="preserve">Übertragbarkeit: </w:t>
      </w:r>
      <w:r>
        <w:rPr>
          <w:sz w:val="19"/>
        </w:rPr>
        <w:t>China, aber Methoden mit ähnlichen Adipositasmaßnahmen in Schulen wie in Deutschland einsetzbar</w:t>
      </w:r>
    </w:p>
    <w:p>
      <w:r>
        <w:rPr>
          <w:color w:val="5A7D3A"/>
          <w:sz w:val="18"/>
        </w:rPr>
        <w:t>https://pubmed.ncbi.nlm.nih.gov/42797034/</w:t>
      </w:r>
    </w:p>
    <w:p>
      <w:pPr>
        <w:pStyle w:val="Heading2"/>
      </w:pPr>
      <w:r>
        <w:t>Vitamin-D- und B12-Mangel erhöhen metabolisches Erkrankungsrisiko bei Adipositas: TriNetX-Studie</w:t>
      </w:r>
    </w:p>
    <w:p>
      <w:r>
        <w:rPr>
          <w:i/>
          <w:color w:val="666666"/>
          <w:sz w:val="18"/>
        </w:rPr>
        <w:t>Osorio EY et al.  ·  Nutrients  ·  14.09.2026  ·  PMID 42796988</w:t>
      </w:r>
    </w:p>
    <w:p>
      <w:r>
        <w:t>Elektronische Gesundheitsakte-Analyse an US-amerikanischen Patienten mit Adipositas und verschiedenen Mangelernährungsarten (Vitamin D, B12, Kalzium, Magnesium, Protein) und deren Assoziation mit metabolischen Folgeerkrankungen.</w:t>
      </w:r>
    </w:p>
    <w:p>
      <w:r>
        <w:rPr>
          <w:b/>
        </w:rPr>
        <w:t xml:space="preserve">Ergebnis: </w:t>
      </w:r>
      <w:r>
        <w:t>Vitamin-D-Mangel (Median-HR 3,09, IQR 2,32–5,66), B12-Mangel (Median-HR 2,49, IQR 2,16–6,08) und vorherige Untergewicht-Diagnose (Median-HR 2,23, IQR 1,76–3,98) waren mit höchstem Risiko für metabolische Erkrankungen assoziiert. Prävalenz aller Mangelzustände stieg von 2023–2025 an.</w:t>
      </w:r>
    </w:p>
    <w:p>
      <w:r>
        <w:rPr>
          <w:b/>
          <w:sz w:val="19"/>
        </w:rPr>
        <w:t xml:space="preserve">Übertragbarkeit: </w:t>
      </w:r>
      <w:r>
        <w:rPr>
          <w:sz w:val="19"/>
        </w:rPr>
        <w:t>USA-Daten, aber die Mechanismen zwischen Malnutrition und Metabolikum sind unabhängig von Versicherungssystem</w:t>
      </w:r>
    </w:p>
    <w:p>
      <w:r>
        <w:rPr>
          <w:color w:val="5A7D3A"/>
          <w:sz w:val="18"/>
        </w:rPr>
        <w:t>https://pubmed.ncbi.nlm.nih.gov/42796988/</w:t>
      </w:r>
    </w:p>
    <w:p>
      <w:pPr>
        <w:pStyle w:val="Heading2"/>
      </w:pPr>
      <w:r>
        <w:t>Aquatic Exercise verbesserte Stürz-Risiko und exekutive Funktion bei älteren Frauen mit Adipositas: 16-Wochen-Beobachtung</w:t>
      </w:r>
    </w:p>
    <w:p>
      <w:r>
        <w:rPr>
          <w:i/>
          <w:color w:val="666666"/>
          <w:sz w:val="18"/>
        </w:rPr>
        <w:t>Seo YM et al.  ·  Medicina (Kaunas)  ·  31.08.2026  ·  PMID 42796274</w:t>
      </w:r>
    </w:p>
    <w:p>
      <w:r>
        <w:t>Prospektive Beobachtungsstudie an 30 älteren Frauen mit Adipositas (15 kombiniertes Aqua-Training, 15 Kontrollgruppe), die 16 Wochen überwacht wurden.</w:t>
      </w:r>
    </w:p>
    <w:p>
      <w:r>
        <w:rPr>
          <w:b/>
        </w:rPr>
        <w:t xml:space="preserve">Ergebnis: </w:t>
      </w:r>
      <w:r>
        <w:t>Aquatic-Gruppe zeigte größere Verbesserungen in Körperzusammensetzung, Muskelkraft und Balance; exekutive Funktion verbesserte sich signifikant (p&lt;0,001). Irisin-Werte stiegen signifikant (p=0,002); keine signifikanten Unterschiede in Gehgeschwindigkeit, Ausdauer oder IL-6.</w:t>
      </w:r>
    </w:p>
    <w:p>
      <w:r>
        <w:rPr>
          <w:b/>
          <w:sz w:val="19"/>
        </w:rPr>
        <w:t xml:space="preserve">Übertragbarkeit: </w:t>
      </w:r>
      <w:r>
        <w:rPr>
          <w:sz w:val="19"/>
        </w:rPr>
        <w:t>Südkorea, aber Aquatic-Programme sind in Deutschland etabliert und übertragbar</w:t>
      </w:r>
    </w:p>
    <w:p>
      <w:r>
        <w:rPr>
          <w:color w:val="5A7D3A"/>
          <w:sz w:val="18"/>
        </w:rPr>
        <w:t>https://pubmed.ncbi.nlm.nih.gov/42796274/</w:t>
      </w:r>
    </w:p>
    <w:p>
      <w:pPr>
        <w:pStyle w:val="Heading2"/>
      </w:pPr>
      <w:r>
        <w:t>Dietetic counseling with digital tools für älter Erwachsene mit MetS-Risiko: vorwiegend Verbesserung ohne Zusatznutzen von Apps</w:t>
      </w:r>
    </w:p>
    <w:p>
      <w:r>
        <w:rPr>
          <w:i/>
          <w:color w:val="666666"/>
          <w:sz w:val="18"/>
        </w:rPr>
        <w:t>Makri R et al.  ·  Obesity (Silver Spring)  ·  18.09.2026  ·  PMID 42759999</w:t>
      </w:r>
    </w:p>
    <w:p>
      <w:r>
        <w:t>Randomisierte Studie an 984 älteren Erwachsenen (≥55 Jahre) mit Stoffwechsel-Risikofaktoren, die 3 Monate lang dietätische Beratung allein, mit Webplattform oder mit Plattform plus digitalen Geräten erhielten.</w:t>
      </w:r>
    </w:p>
    <w:p>
      <w:r>
        <w:rPr>
          <w:b/>
        </w:rPr>
        <w:t xml:space="preserve">Ergebnis: </w:t>
      </w:r>
      <w:r>
        <w:t>Taillenumfang sank in allen Gruppen (Plattform -1,38 cm, 95%-KI -2,37 bis -0,38; Plattform+Geräte -1,61 cm, 95%-KI -2,61 bis -0,60). Dietätische Beratung verbesserte Anthropometrie und metabolische Parameter; digitale Tools erhöhten die körperliche Aktivität (+55,52 MET-min/Woche, 95%-KI 15,32–95,72), brachten aber keinen zusätzlichen kurzfristigen metabolischen Nutzen.</w:t>
      </w:r>
    </w:p>
    <w:p>
      <w:r>
        <w:rPr>
          <w:b/>
          <w:sz w:val="19"/>
        </w:rPr>
        <w:t xml:space="preserve">Übertragbarkeit: </w:t>
      </w:r>
      <w:r>
        <w:rPr>
          <w:sz w:val="19"/>
        </w:rPr>
        <w:t>Griechenland, vergleichbar mit deutschem Sozialversicherungssystem für spezialisierte Ernährungsberatung</w:t>
      </w:r>
    </w:p>
    <w:p>
      <w:r>
        <w:rPr>
          <w:color w:val="5A7D3A"/>
          <w:sz w:val="18"/>
        </w:rPr>
        <w:t>https://pubmed.ncbi.nlm.nih.gov/42759999/</w:t>
      </w:r>
    </w:p>
    <w:p>
      <w:pPr>
        <w:pStyle w:val="Heading2"/>
      </w:pPr>
      <w:r>
        <w:t>Mütterlicher Obst- und Gemüseverbrauch senkt Adipositas-Risiko von 4-jährigen Kindern: ECLIPSES-Kohort</w:t>
      </w:r>
    </w:p>
    <w:p>
      <w:r>
        <w:rPr>
          <w:i/>
          <w:color w:val="666666"/>
          <w:sz w:val="18"/>
        </w:rPr>
        <w:t>Riggioni-Saborío L et al.  ·  Nutrients  ·  06.09.2026  ·  PMID 42739090</w:t>
      </w:r>
    </w:p>
    <w:p>
      <w:r>
        <w:t>Prospektive Observationsstudie an 252 Mutter-Kind-Paaren (Kohort ECLIPSES), bei der die mütterliche Ernährung in Trimestern erfasst und das Adipositas-Risiko der Kinder im Alter 4 Jahren gemessen wurde.</w:t>
      </w:r>
    </w:p>
    <w:p>
      <w:r>
        <w:rPr>
          <w:b/>
        </w:rPr>
        <w:t xml:space="preserve">Ergebnis: </w:t>
      </w:r>
      <w:r>
        <w:t>Höherer Obst- und Gemüsekonsum war mit niedrigerer Adipositas-Wahrscheinlichkeit assoziiert (OR 0,31, 95%-KI 0,13–0,74). Kommerzieller Fruchtsaft war mit erhöhter Adipositas assoziiert (OR 2,48, 95%-KI 1,06–5,78), natürlicher Saft nicht.</w:t>
      </w:r>
    </w:p>
    <w:p>
      <w:r>
        <w:rPr>
          <w:b/>
          <w:sz w:val="19"/>
        </w:rPr>
        <w:t xml:space="preserve">Übertragbarkeit: </w:t>
      </w:r>
      <w:r>
        <w:rPr>
          <w:sz w:val="19"/>
        </w:rPr>
        <w:t>Spanien (Mittelmeer-Region), aber Ernährungsempfehlungen in der Schwangerschaft sind international vergleichbar</w:t>
      </w:r>
    </w:p>
    <w:p>
      <w:r>
        <w:rPr>
          <w:color w:val="5A7D3A"/>
          <w:sz w:val="18"/>
        </w:rPr>
        <w:t>https://pubmed.ncbi.nlm.nih.gov/42739090/</w:t>
      </w:r>
    </w:p>
    <w:p>
      <w:pPr>
        <w:pStyle w:val="Heading2"/>
      </w:pPr>
      <w:r>
        <w:t>Ruhepuls ≥75 bpm als unabhängiger Marker für Insulinresistenz in der Grundversorgung</w:t>
      </w:r>
    </w:p>
    <w:p>
      <w:r>
        <w:rPr>
          <w:i/>
          <w:color w:val="666666"/>
          <w:sz w:val="18"/>
        </w:rPr>
        <w:t>Mill Ferreyra EO et al.  ·  Semergen  ·  10.09.2026  ·  PMID 42721922</w:t>
      </w:r>
    </w:p>
    <w:p>
      <w:r>
        <w:t>Querschnittsstudie an 492 Patienten in spanischen Praxen (Palafolls, Barcelona), die Ruheherzfrequenz, Körperzusammensetzung und Insulinresistenz (HOMA-IR) gemessen wurden.</w:t>
      </w:r>
    </w:p>
    <w:p>
      <w:r>
        <w:rPr>
          <w:b/>
        </w:rPr>
        <w:t xml:space="preserve">Ergebnis: </w:t>
      </w:r>
      <w:r>
        <w:t>Ruhepuls ≥75 bpm war mit höherer Adipositas, geringerer Muskelmasse und erhöhter Insulinresistenz assoziiert (OR ≈ 2,0 in allen Modellen). Hohe Muskelmasse zeigte protektiven Effekt (OR ≈ 0,4). Assoziationen blieben nach Alters- und Geschlechtsbereinigung bestehen.</w:t>
      </w:r>
    </w:p>
    <w:p>
      <w:r>
        <w:rPr>
          <w:b/>
          <w:sz w:val="19"/>
        </w:rPr>
        <w:t xml:space="preserve">Übertragbarkeit: </w:t>
      </w:r>
      <w:r>
        <w:rPr>
          <w:sz w:val="19"/>
        </w:rPr>
        <w:t>Spanien, primärärztliches Versorgungssystem vergleichbar mit Deutschland</w:t>
      </w:r>
    </w:p>
    <w:p>
      <w:r>
        <w:rPr>
          <w:color w:val="5A7D3A"/>
          <w:sz w:val="18"/>
        </w:rPr>
        <w:t>https://pubmed.ncbi.nlm.nih.gov/42721922/</w:t>
      </w:r>
    </w:p>
    <w:p>
      <w:pPr>
        <w:pStyle w:val="Heading1"/>
      </w:pPr>
      <w:r>
        <w:t>Aufgenommen am 26.09.2026</w:t>
      </w:r>
    </w:p>
    <w:p>
      <w:pPr>
        <w:pStyle w:val="Heading2"/>
      </w:pPr>
      <w:r>
        <w:t>Medicaid-Erstattung für GLP-1-Rezeptoragonisten verdoppelt Nutzung ohne Substitution von Diabetes-Präparaten</w:t>
      </w:r>
    </w:p>
    <w:p>
      <w:r>
        <w:rPr>
          <w:i/>
          <w:color w:val="666666"/>
          <w:sz w:val="18"/>
        </w:rPr>
        <w:t>Khanna R et al.  ·  JAMA Health Forum  ·  04.09.2026  ·  PMID 42789287</w:t>
      </w:r>
    </w:p>
    <w:p>
      <w:r>
        <w:t>Analyse der Auswirkungen der Medicaid-Leistung für Adipositas-GLP-1-Rezeptoragonisten auf die Gesamtnutzung zwischen 2021 und 2024 in den USA.</w:t>
      </w:r>
    </w:p>
    <w:p>
      <w:r>
        <w:rPr>
          <w:b/>
        </w:rPr>
        <w:t xml:space="preserve">Ergebnis: </w:t>
      </w:r>
      <w:r>
        <w:t>Zustände, die GLP-1-Rezeptoragonisten für Adipositas erstatteten, zeigten eine mittlere Zunahme um 6,48 Verschreibungen/1000 Versicherte (95%-KI: 4,00–8,96; p&lt;0,001). Die Gesamt-GLP-1-Nutzung nahm nicht signifikant zu (4,17 [95%-KI: −0,33 bis 8,67]; p=0,07), Diabetes-GLP-1-Nutzung sank nicht (−2,16 [95%-KI: −5,27 bis 0,96]). In Staaten mit restriktiven Prior-Authorization-Anforderungen fiel die Diabetes-GLP-1-Nutzung (−3,02 [95%-KI: −5,69 bis −0,36]; p=0,03).</w:t>
      </w:r>
    </w:p>
    <w:p>
      <w:r>
        <w:rPr>
          <w:b/>
          <w:sz w:val="19"/>
        </w:rPr>
        <w:t xml:space="preserve">Übertragbarkeit: </w:t>
      </w:r>
      <w:r>
        <w:rPr>
          <w:sz w:val="19"/>
        </w:rPr>
        <w:t>USA, aber Frage der Kostenübernahme und Durchsatzeffekte liegt dem deutschen SGB-V-Ausschluss zugrunde</w:t>
      </w:r>
    </w:p>
    <w:p>
      <w:r>
        <w:rPr>
          <w:color w:val="5A7D3A"/>
          <w:sz w:val="18"/>
        </w:rPr>
        <w:t>https://pubmed.ncbi.nlm.nih.gov/42789287/</w:t>
      </w:r>
    </w:p>
    <w:p>
      <w:pPr>
        <w:pStyle w:val="Heading2"/>
      </w:pPr>
      <w:r>
        <w:t>Hohes Geburtsgewicht bleibt mit Übergewicht im Schulalter assoziiert trotz sinkendem Trend</w:t>
      </w:r>
    </w:p>
    <w:p>
      <w:r>
        <w:rPr>
          <w:i/>
          <w:color w:val="666666"/>
          <w:sz w:val="18"/>
        </w:rPr>
        <w:t>Rossi CE et al.  ·  Sao Paulo Med J  ·  21.09.2026  ·  PMID 42788534</w:t>
      </w:r>
    </w:p>
    <w:p>
      <w:r>
        <w:t>Panel-Kohortenstudie bei 4 Querschnittserhebungen (2002–2019) in Florianópolis, Brasilien, zur Assoziation zwischen Geburtsgewicht und Übergewicht/Adipositas bei Schulkindern (7–10 Jahre).</w:t>
      </w:r>
    </w:p>
    <w:p>
      <w:r>
        <w:rPr>
          <w:b/>
        </w:rPr>
        <w:t xml:space="preserve">Ergebnis: </w:t>
      </w:r>
      <w:r>
        <w:t>Niedriges Geburtsgewicht stieg um 58,3 % von 2002 bis 2018–2019; hohes Geburtsgewicht sank um 40,7 % zwischen 2002 und 2012–2013. Hohes Geburtsgewicht war durchgängig mit Übergewicht/Adipositas assoziiert (OR = 1,63 [95%-KI: 1,32–2,00]) über alle Erhebungswellen hinweg, unabhängig von Lebensmittelzufuhr und anderen Störfaktoren.</w:t>
      </w:r>
    </w:p>
    <w:p>
      <w:r>
        <w:rPr>
          <w:b/>
          <w:sz w:val="19"/>
        </w:rPr>
        <w:t xml:space="preserve">Übertragbarkeit: </w:t>
      </w:r>
      <w:r>
        <w:rPr>
          <w:sz w:val="19"/>
        </w:rPr>
        <w:t>Südamerika, aber frühe Lebensphasenforschung und fetale Programmierung grundsätzlich übertragbar</w:t>
      </w:r>
    </w:p>
    <w:p>
      <w:r>
        <w:rPr>
          <w:color w:val="5A7D3A"/>
          <w:sz w:val="18"/>
        </w:rPr>
        <w:t>https://pubmed.ncbi.nlm.nih.gov/42788534/</w:t>
      </w:r>
    </w:p>
    <w:p>
      <w:pPr>
        <w:pStyle w:val="Heading2"/>
      </w:pPr>
      <w:r>
        <w:t>Laparoskopische Roux-en-Y-Bypass verkürzt Krankenhausverweilsdauer um 0,97 Tage gegenüber offener Chirurgie</w:t>
      </w:r>
    </w:p>
    <w:p>
      <w:r>
        <w:rPr>
          <w:i/>
          <w:color w:val="666666"/>
          <w:sz w:val="18"/>
        </w:rPr>
        <w:t>Bookobza TL et al.  ·  Arq Bras Cir Dig  ·  18.09.2026  ·  PMID 42788531</w:t>
      </w:r>
    </w:p>
    <w:p>
      <w:r>
        <w:t>Vergleichende Kohortenstudie bei Patienten mit Adipositas, die sich einem Roux-en-Y-Magenbypass entweder laparoskopisch oder offen unterzogen, zur Krankenhausverweilsdauer.</w:t>
      </w:r>
    </w:p>
    <w:p>
      <w:r>
        <w:rPr>
          <w:b/>
        </w:rPr>
        <w:t xml:space="preserve">Ergebnis: </w:t>
      </w:r>
      <w:r>
        <w:t>Patienten mit laparoskopischer Roux-en-Y-Gastroplastik blieben durchschnittlich 2,45 Tage hospitalisiert (SD=1,12), gegenüber 3,42 Tagen (SD=1,17) bei offenem Zugang (p&lt;0,05). Dies ist statistisch und klinisch signifikant und hat finanzielle Auswirkungen durch verkürzte Bettenauslastung und reduzierte Hospitalisierungskosten.</w:t>
      </w:r>
    </w:p>
    <w:p>
      <w:r>
        <w:rPr>
          <w:b/>
          <w:sz w:val="19"/>
        </w:rPr>
        <w:t xml:space="preserve">Übertragbarkeit: </w:t>
      </w:r>
      <w:r>
        <w:rPr>
          <w:sz w:val="19"/>
        </w:rPr>
        <w:t>Brasilien, aber OP-Technik und Kostenwirkung in Gesundheitssystemen vergleichbar</w:t>
      </w:r>
    </w:p>
    <w:p>
      <w:r>
        <w:rPr>
          <w:color w:val="5A7D3A"/>
          <w:sz w:val="18"/>
        </w:rPr>
        <w:t>https://pubmed.ncbi.nlm.nih.gov/42788531/</w:t>
      </w:r>
    </w:p>
    <w:p>
      <w:pPr>
        <w:pStyle w:val="Heading2"/>
      </w:pPr>
      <w:r>
        <w:t>Mahlzeiten-Auslassen verdreifacht Übergewichtsrisiko bei brasilianischen Adoleszenten</w:t>
      </w:r>
    </w:p>
    <w:p>
      <w:r>
        <w:rPr>
          <w:i/>
          <w:color w:val="666666"/>
          <w:sz w:val="18"/>
        </w:rPr>
        <w:t>Santos FBD et al.  ·  Cien Saude Colet  ·  21.09.2026  ·  PMID 42788505</w:t>
      </w:r>
    </w:p>
    <w:p>
      <w:r>
        <w:t>Querschnittstudie bei 382 Schulkindern aus öffentlichen Schulen in Rio de Janeiro zum Zusammenhang zwischen Mahlzeiten-Auslassen, Mahlzeiten-Ersetzen und Übergewicht/Adipositas.</w:t>
      </w:r>
    </w:p>
    <w:p>
      <w:r>
        <w:rPr>
          <w:b/>
        </w:rPr>
        <w:t xml:space="preserve">Ergebnis: </w:t>
      </w:r>
      <w:r>
        <w:t>Jungen, die Abendessen ausließen, hatten eine 3,13-fach höhere Wahrscheinlichkeit für Übergewicht (95%-KI: 1,06–9,21); Mädchen, die Frühstück ausließen, eine 2,20-fach höhere Wahrscheinlichkeit (95%-KI: 1,10–4,41). Keine Assoziation zwischen Ersetzen von Mahlzeiten und Übergewicht gefunden.</w:t>
      </w:r>
    </w:p>
    <w:p>
      <w:r>
        <w:rPr>
          <w:b/>
          <w:sz w:val="19"/>
        </w:rPr>
        <w:t xml:space="preserve">Übertragbarkeit: </w:t>
      </w:r>
      <w:r>
        <w:rPr>
          <w:sz w:val="19"/>
        </w:rPr>
        <w:t>Brasilien, aber Verhaltensmuster bei Adoleszenten und Mahlzeitenmuster grundsätzlich übertragbar</w:t>
      </w:r>
    </w:p>
    <w:p>
      <w:r>
        <w:rPr>
          <w:color w:val="5A7D3A"/>
          <w:sz w:val="18"/>
        </w:rPr>
        <w:t>https://pubmed.ncbi.nlm.nih.gov/42788505/</w:t>
      </w:r>
    </w:p>
    <w:p>
      <w:pPr>
        <w:pStyle w:val="Heading2"/>
      </w:pPr>
      <w:r>
        <w:t>Schulbasierte Adipositasprävention in Europa: Umsetzungshindernisse und Abdeckung in 14 Ländern</w:t>
      </w:r>
    </w:p>
    <w:p>
      <w:r>
        <w:rPr>
          <w:i/>
          <w:color w:val="666666"/>
          <w:sz w:val="18"/>
        </w:rPr>
        <w:t>Rallis I et al.  ·  Front Public Health  ·  10.09.2026  ·  PMID 42787437</w:t>
      </w:r>
    </w:p>
    <w:p>
      <w:r>
        <w:t>Analyse von Umfang, finanziellen Grenzen und Ergebnissen schulbasierter und komplementärer Adipositaspräventionsprogramme für Kinder und Jugendliche in 14 europäischen Ländern.</w:t>
      </w:r>
    </w:p>
    <w:p>
      <w:r>
        <w:rPr>
          <w:b/>
        </w:rPr>
        <w:t xml:space="preserve">Ergebnis: </w:t>
      </w:r>
      <w:r>
        <w:t>Die Hauptlimitationen bestehender Interventionsprogramme sind unzureichende Penetrationstiefe und Skalierungsprobleme; es fehlt ein strukturiertes Framework zur Bewertung dieser Policies innerhalb eines Multi-Actor-, Context-Aware-Ansatzes in Europa. Die Analyse deckt Abdeckung, finanzielle Limitationen und strukturelle sowie pädagogische Systemgrenzen auf.</w:t>
      </w:r>
    </w:p>
    <w:p>
      <w:r>
        <w:rPr>
          <w:b/>
          <w:sz w:val="19"/>
        </w:rPr>
        <w:t xml:space="preserve">Übertragbarkeit: </w:t>
      </w:r>
      <w:r>
        <w:rPr>
          <w:sz w:val="19"/>
        </w:rPr>
        <w:t>Europäische Vergleichsstudie, direkt auf deutsche Politikgestaltung anwendbar</w:t>
      </w:r>
    </w:p>
    <w:p>
      <w:r>
        <w:rPr>
          <w:color w:val="5A7D3A"/>
          <w:sz w:val="18"/>
        </w:rPr>
        <w:t>https://pubmed.ncbi.nlm.nih.gov/42787437/</w:t>
      </w:r>
    </w:p>
    <w:p>
      <w:pPr>
        <w:pStyle w:val="Heading2"/>
      </w:pPr>
      <w:r>
        <w:t>Sarkopenische Adipositas erhöht Inkontinenz-Risiko bei älteren Frauen um 80 Prozent</w:t>
      </w:r>
    </w:p>
    <w:p>
      <w:r>
        <w:rPr>
          <w:i/>
          <w:color w:val="666666"/>
          <w:sz w:val="18"/>
        </w:rPr>
        <w:t>Deveci NÖ et al.  ·  Geriatr Gerontol Int  ·  Okt. 2026  ·  PMID 42786931</w:t>
      </w:r>
    </w:p>
    <w:p>
      <w:r>
        <w:t>Querschnittstudie bei 535 Frauen ≥60 Jahren aus der Gemeinde zur Prävalenz von Urininkontinenz in Abhängigkeit von Sarcopenia und sarkopenischer Adipositas sowie Assoziationen mit anderen geriatrischen Syndromen.</w:t>
      </w:r>
    </w:p>
    <w:p>
      <w:r>
        <w:rPr>
          <w:b/>
        </w:rPr>
        <w:t xml:space="preserve">Ergebnis: </w:t>
      </w:r>
      <w:r>
        <w:t>Urininkontinenz wurde von 49,9 % berichtet. Frauen mit Inkontinenz hatten höheren BMI, häufigere Stürze, mehr Gebrechlichkeit und depressive Symptome. In multivariablen Modellen waren Sturzanamnese (adjustierte OR 2,05 [95%-KI: 1,38–3,02]), SARC-F-Score (aOR 1,12 [1,02–1,22]) und BMI-definierte sarkopenische Adipositas (aOR 1,80 [1,09–2,96]) unabhängige Prädiktoren der Urininkontinenz.</w:t>
      </w:r>
    </w:p>
    <w:p>
      <w:r>
        <w:rPr>
          <w:b/>
          <w:sz w:val="19"/>
        </w:rPr>
        <w:t xml:space="preserve">Übertragbarkeit: </w:t>
      </w:r>
      <w:r>
        <w:rPr>
          <w:sz w:val="19"/>
        </w:rPr>
        <w:t>Türkei, aber geriatrische Multimorbidität und Funktionsfähigkeit in Europa vergleichbar</w:t>
      </w:r>
    </w:p>
    <w:p>
      <w:r>
        <w:rPr>
          <w:color w:val="5A7D3A"/>
          <w:sz w:val="18"/>
        </w:rPr>
        <w:t>https://pubmed.ncbi.nlm.nih.gov/42786931/</w:t>
      </w:r>
    </w:p>
    <w:p>
      <w:pPr>
        <w:pStyle w:val="Heading1"/>
      </w:pPr>
      <w:r>
        <w:t>Aufgenommen am 25.09.2026</w:t>
      </w:r>
    </w:p>
    <w:p>
      <w:pPr>
        <w:pStyle w:val="Heading2"/>
      </w:pPr>
      <w:r>
        <w:t>Adipositas in Mexiko: Strukturelle Treiber und Grenzen gesundheitspolitischer Reformen</w:t>
      </w:r>
    </w:p>
    <w:p>
      <w:r>
        <w:rPr>
          <w:i/>
          <w:color w:val="666666"/>
          <w:sz w:val="18"/>
        </w:rPr>
        <w:t>Browner CH et al.  ·  Glob Public Health  ·  31.12.2026  ·  PMID 42784752</w:t>
      </w:r>
    </w:p>
    <w:p>
      <w:r>
        <w:t>Qualitative Analyse der Adipositas-Epidemiologie in Mexiko und ihrer Verbindung zu Folgeerkrankungen; kritische Bewertung der Healthy Republic Plan der Präsidentin Claudia Sheinbaum als politisches Reformrahmenwerk.</w:t>
      </w:r>
    </w:p>
    <w:p>
      <w:r>
        <w:rPr>
          <w:b/>
        </w:rPr>
        <w:t xml:space="preserve">Ergebnis: </w:t>
      </w:r>
      <w:r>
        <w:t>Mexiko hat eine der höchsten Adipositas-Prävalenzen weltweit (&gt;1/3 der Kinder und Jugendlichen betroffen). Die Studie identifiziert soziohistorische, politisch-ökonomische und kulturelle Faktoren als Treiber und zeigt die Grenzen sektoraler Gesundheitspolitik ohne Strukturveränderung im Lebensmittel-Umfeld und in der Arbeitsökonomie auf. Der Plan adressiert Symptome, nicht zugrundeliegende strukturelle Determinanten.</w:t>
      </w:r>
    </w:p>
    <w:p>
      <w:r>
        <w:rPr>
          <w:b/>
          <w:sz w:val="19"/>
        </w:rPr>
        <w:t xml:space="preserve">Übertragbarkeit: </w:t>
      </w:r>
      <w:r>
        <w:rPr>
          <w:sz w:val="19"/>
        </w:rPr>
        <w:t>Mexiko – Kontext grundlegend anders; relevanter Befund: Versorgungsreformen ohne Verhältnisprävention wirken begrenzt</w:t>
      </w:r>
    </w:p>
    <w:p>
      <w:r>
        <w:rPr>
          <w:color w:val="5A7D3A"/>
          <w:sz w:val="18"/>
        </w:rPr>
        <w:t>https://pubmed.ncbi.nlm.nih.gov/42784752/</w:t>
      </w:r>
    </w:p>
    <w:p>
      <w:pPr>
        <w:pStyle w:val="Heading2"/>
      </w:pPr>
      <w:r>
        <w:t>Adipositas und Cybermobbing bei Grundschülern: Deutlich erhöhtes Risiko online</w:t>
      </w:r>
    </w:p>
    <w:p>
      <w:r>
        <w:rPr>
          <w:i/>
          <w:color w:val="666666"/>
          <w:sz w:val="18"/>
        </w:rPr>
        <w:t>Büyükşahin Y et al.  ·  Front Public Health  ·  09.09.2026  ·  PMID 42780642</w:t>
      </w:r>
    </w:p>
    <w:p>
      <w:r>
        <w:t>Türkische Querschnittsstudie an 579 Grundschülern (Klassen 1–4) zur Vorhersage von Mobbingerfahrungen durch BMI-Kategorien; logistische Regression und Korrelationsanalysen.</w:t>
      </w:r>
    </w:p>
    <w:p>
      <w:r>
        <w:rPr>
          <w:b/>
        </w:rPr>
        <w:t xml:space="preserve">Ergebnis: </w:t>
      </w:r>
      <w:r>
        <w:t>Übergewicht/Adipositas versus Normalgewicht: Cybermobbing-Risiko 1,83-fach erhöht (OR 1,83, 95%-KI 1,008–3,328, p = 0,047; Permutationstest p = 0,032). Nach Adjustierung für Geschlecht und Klasse Assoziation grenzwertig signifikant (OR 1,77, p = 0,064). Korrelation BMI mit Cybermobbing ρ = 0,092, p = 0,027. Kein signifikanter Unterschied für physisches oder soziales Mobbing.</w:t>
      </w:r>
    </w:p>
    <w:p>
      <w:r>
        <w:rPr>
          <w:b/>
          <w:sz w:val="19"/>
        </w:rPr>
        <w:t xml:space="preserve">Übertragbarkeit: </w:t>
      </w:r>
      <w:r>
        <w:rPr>
          <w:sz w:val="19"/>
        </w:rPr>
        <w:t>Europäisches, nicht deutsches System; Stigma und Zugang sind universell, aber schulische Interventionen unterscheiden sich</w:t>
      </w:r>
    </w:p>
    <w:p>
      <w:r>
        <w:rPr>
          <w:color w:val="5A7D3A"/>
          <w:sz w:val="18"/>
        </w:rPr>
        <w:t>https://pubmed.ncbi.nlm.nih.gov/42780642/</w:t>
      </w:r>
    </w:p>
    <w:p>
      <w:pPr>
        <w:pStyle w:val="Heading2"/>
      </w:pPr>
      <w:r>
        <w:t>Stuhltransplantation bei adipösen Jugendlichen: Begrenzte Wirkung und Spenderabhängigkeit</w:t>
      </w:r>
    </w:p>
    <w:p>
      <w:r>
        <w:rPr>
          <w:i/>
          <w:color w:val="666666"/>
          <w:sz w:val="18"/>
        </w:rPr>
        <w:t>Jiang X et al.  ·  Front Endocrinol (Lausanne)  ·  09.09.2026  ·  PMID 42780516</w:t>
      </w:r>
    </w:p>
    <w:p>
      <w:r>
        <w:t>Längzeitkohorte über 182 Tage an adipösen Jugendlichen (378 Proben), die Stuhltransplantation (FMT) erhielten; metagenomische Sequenzierung zur Messung der Ökosystemveränderung.</w:t>
      </w:r>
    </w:p>
    <w:p>
      <w:r>
        <w:rPr>
          <w:b/>
        </w:rPr>
        <w:t xml:space="preserve">Ergebnis: </w:t>
      </w:r>
      <w:r>
        <w:t>FMT führte nur zu transienten Verschiebungen der Gemeinschaftsstruktur. Begrenzte Spenderstamm-Besiedlung, starke Resilienz der Empfänger-Kerntaxa. Bakterien primäre Responder, Viren kurzfristig gestört, Netzwerk-Wiederherstellung partiell und spenderabhängig. Keine anhaltenden ökologischen Effekte.</w:t>
      </w:r>
    </w:p>
    <w:p>
      <w:r>
        <w:rPr>
          <w:b/>
          <w:sz w:val="19"/>
        </w:rPr>
        <w:t xml:space="preserve">Übertragbarkeit: </w:t>
      </w:r>
      <w:r>
        <w:rPr>
          <w:sz w:val="19"/>
        </w:rPr>
        <w:t>China, hypothesengenerierende Studie; Übertragbarkeit auf deutsche Versorgung unklar, derzeit keine breite Kostenübernahme</w:t>
      </w:r>
    </w:p>
    <w:p>
      <w:r>
        <w:rPr>
          <w:color w:val="5A7D3A"/>
          <w:sz w:val="18"/>
        </w:rPr>
        <w:t>https://pubmed.ncbi.nlm.nih.gov/42780516/</w:t>
      </w:r>
    </w:p>
    <w:p>
      <w:pPr>
        <w:pStyle w:val="Heading2"/>
      </w:pPr>
      <w:r>
        <w:t>Arbeitsplatzunterstützung für Stillende vermindert Adipositas-Risiko nach früher Rückkehr zur Arbeit</w:t>
      </w:r>
    </w:p>
    <w:p>
      <w:r>
        <w:rPr>
          <w:i/>
          <w:color w:val="666666"/>
          <w:sz w:val="18"/>
        </w:rPr>
        <w:t>Liu H  ·  Front Public Health  ·  09.09.2026  ·  PMID 42780412</w:t>
      </w:r>
    </w:p>
    <w:p>
      <w:r>
        <w:t>Chinesische Querschnittstudie mit 1633 Mutter-Kind-Paaren zur Assoziation von Rückkehrzeitpunkt zur Arbeit, Stillverhalten und Arbeitsplatzunterstützung mit Übergewicht/Adipositas bei Kindern 3–6 Jahren.</w:t>
      </w:r>
    </w:p>
    <w:p>
      <w:r>
        <w:rPr>
          <w:b/>
        </w:rPr>
        <w:t xml:space="preserve">Ergebnis: </w:t>
      </w:r>
      <w:r>
        <w:t>Insgesamt 458 Kinder (28,0 %) übergewichtig oder adipös. Rückkehr zu 6–15 Wochen postpartum: erhöhte Chancen (OR 1,85, 95%-KI 1,36–2,50). Rückkehr zu ≥16 Wochen: nicht signifikant (OR 1,06). Exklusives Stillen ≥6 Monate: OR 0,41 (95%-KI 0,26–0,63), Stillen 6–11 Monate: OR 0,61 (95%-KI 0,42–0,88). In explorativer Schichtanalyse: Rückkehr vor 16 Wochen assoziiert bei niedriger Arbeitsplatzunterstützung (OR 3,84, 95%-KI 2,25–6,56), nicht bei hoher (OR 1,08, p-Interaktion &lt;0,001).</w:t>
      </w:r>
    </w:p>
    <w:p>
      <w:r>
        <w:rPr>
          <w:b/>
          <w:sz w:val="19"/>
        </w:rPr>
        <w:t xml:space="preserve">Übertragbarkeit: </w:t>
      </w:r>
      <w:r>
        <w:rPr>
          <w:sz w:val="19"/>
        </w:rPr>
        <w:t>China, System nicht direkt übertragbar, aber Mechanismus (Stillen und Beruf) relevant für deutsche Elternzeitpolitik</w:t>
      </w:r>
    </w:p>
    <w:p>
      <w:r>
        <w:rPr>
          <w:color w:val="5A7D3A"/>
          <w:sz w:val="18"/>
        </w:rPr>
        <w:t>https://pubmed.ncbi.nlm.nih.gov/42780412/</w:t>
      </w:r>
    </w:p>
    <w:p>
      <w:pPr>
        <w:pStyle w:val="Heading2"/>
      </w:pPr>
      <w:r>
        <w:t>Metabolische Nebenwirkungen von Antipsychotika bei Kindern: Geschlechtsspezifische Risiken in Schweden</w:t>
      </w:r>
    </w:p>
    <w:p>
      <w:r>
        <w:rPr>
          <w:i/>
          <w:color w:val="666666"/>
          <w:sz w:val="18"/>
        </w:rPr>
        <w:t>Kimland EE et al.  ·  Pharmacoepidemiol Drug Saf  ·  Okt. 2026  ·  PMID 42770521</w:t>
      </w:r>
    </w:p>
    <w:p>
      <w:r>
        <w:t>Schwedische Registerstudie zu Adipositas und metabolischen Nebenwirkungen bei 5441 Kindern und Jugendlichen (5–17 Jahre) unter antipsychotischer Erstbehandlung zwischen 2014 und 2021.</w:t>
      </w:r>
    </w:p>
    <w:p>
      <w:r>
        <w:rPr>
          <w:b/>
        </w:rPr>
        <w:t xml:space="preserve">Ergebnis: </w:t>
      </w:r>
      <w:r>
        <w:t>Von 5441 Neunutzern entwickelten 399 (7,3 %) metabolische Nebenwirkungen, davon 69 % Adipositas. Risiko für Mädchen deutlich erhöht: Aripiprazol HR 3,52 (95%-KI 1,58–7,80), Olanzapin HR 6,99 (95%-KI 2,34–20,93), Quetiapin HR 4,87 (95%-KI 1,97–12,04) versus Risperidon. Bei Jungen signifikant erhöht nur für Aripiprazol (HR 2,21, 95%-KI 1,37–3,56). Jüngere Mädchen hatten höhere Risiken.</w:t>
      </w:r>
    </w:p>
    <w:p>
      <w:r>
        <w:rPr>
          <w:b/>
          <w:sz w:val="19"/>
        </w:rPr>
        <w:t xml:space="preserve">Übertragbarkeit: </w:t>
      </w:r>
      <w:r>
        <w:rPr>
          <w:sz w:val="19"/>
        </w:rPr>
        <w:t>Schweden, vergleichbares Gesundheitssystem und Dokumentation wie Deutschland</w:t>
      </w:r>
    </w:p>
    <w:p>
      <w:r>
        <w:rPr>
          <w:color w:val="5A7D3A"/>
          <w:sz w:val="18"/>
        </w:rPr>
        <w:t>https://pubmed.ncbi.nlm.nih.gov/42770521/</w:t>
      </w:r>
    </w:p>
    <w:p>
      <w:pPr>
        <w:pStyle w:val="Heading2"/>
      </w:pPr>
      <w:r>
        <w:t>Oxidiertes HDL und Adipositas: Frühe Marker für kardiovaskuläres Risiko</w:t>
      </w:r>
    </w:p>
    <w:p>
      <w:r>
        <w:rPr>
          <w:i/>
          <w:color w:val="666666"/>
          <w:sz w:val="18"/>
        </w:rPr>
        <w:t>Sasko B et al.  ·  Int J Mol Sci  ·  24.08.2026  ·  PMID 42737473</w:t>
      </w:r>
    </w:p>
    <w:p>
      <w:r>
        <w:t>Deutsche und internationale Kohortenstudie an 1227 Patienten mit Verdacht auf koronare Herzerkrankung zur Assoziation von BMI und oxidiertem HDL (HDLox) als Entzündungsmarker über das Adipositasspektrum.</w:t>
      </w:r>
    </w:p>
    <w:p>
      <w:r>
        <w:rPr>
          <w:b/>
        </w:rPr>
        <w:t xml:space="preserve">Ergebnis: </w:t>
      </w:r>
      <w:r>
        <w:t>HDLox-Spiegel signifikant höher bei Übergewicht und Adipositas versus Normalgewicht (p = 0,002 bzw. p &lt; 0,001). Nicht-linearer Anstieg von Normalgewicht zu Adipositas Klasse I (BMI 30–34,9), dann Plateau. Im Gesamtkollektiv: BMI korreliert schwach aber signifikant mit HDLox (β = 0,064, p = 0,024); im eingeengten BMI-Bereich (15–35) stärker (β = 0,158, p &lt; 0,001). HDL-Oxidation zeigt frühe Dysfunktion unter Gewichtszunahme an.</w:t>
      </w:r>
    </w:p>
    <w:p>
      <w:r>
        <w:rPr>
          <w:b/>
          <w:sz w:val="19"/>
        </w:rPr>
        <w:t xml:space="preserve">Übertragbarkeit: </w:t>
      </w:r>
      <w:r>
        <w:rPr>
          <w:sz w:val="19"/>
        </w:rPr>
        <w:t>Deutsche Klinikdaten, etablierte HDL-Messverfahren, kardiovaskulärer Risikomarker</w:t>
      </w:r>
    </w:p>
    <w:p>
      <w:r>
        <w:rPr>
          <w:color w:val="5A7D3A"/>
          <w:sz w:val="18"/>
        </w:rPr>
        <w:t>https://pubmed.ncbi.nlm.nih.gov/42737473/</w:t>
      </w:r>
    </w:p>
    <w:p>
      <w:pPr>
        <w:pStyle w:val="Heading1"/>
      </w:pPr>
      <w:r>
        <w:t>Aufgenommen am 24.09.2026</w:t>
      </w:r>
    </w:p>
    <w:p>
      <w:pPr>
        <w:pStyle w:val="Heading2"/>
      </w:pPr>
      <w:r>
        <w:t>Adipositas nach Erdbeben: Frauenanteil 35,5%, Prävention in Containersiedlungen möglich</w:t>
      </w:r>
    </w:p>
    <w:p>
      <w:r>
        <w:rPr>
          <w:i/>
          <w:color w:val="666666"/>
          <w:sz w:val="18"/>
        </w:rPr>
        <w:t>Kurt O et al.  ·  BMJ Open  ·  23.09.2026  ·  PMID 42778259</w:t>
      </w:r>
    </w:p>
    <w:p>
      <w:r>
        <w:t>Querschnittstudie in Containersiedelungen nach dem Erdbeben 2023 in der Türkei (Juni–Oktober 2025, 24–32 Monate später) mit 563 Erwachsenen zur Erfassung unabhängiger Adipositas-Einflussfaktoren.</w:t>
      </w:r>
    </w:p>
    <w:p>
      <w:r>
        <w:rPr>
          <w:b/>
        </w:rPr>
        <w:t xml:space="preserve">Ergebnis: </w:t>
      </w:r>
      <w:r>
        <w:t>Adipositasprävalenz 28,8% (Standardisierung auf gleiche Geschlechtsverteilung: 24,4%), deutlich höher bei Frauen als Männern (35,5% vs. 13,5%). Unabhängig assoziiert: weibliches Geschlecht (AOR 3,46), Alter ≥55 Jahre (AOR 2,44), schnelles Essen (AOR 2,28), Übergewicht in der Kindheit (AOR 1,93), chronische Erkrankung (AOR 1,85), niedriges Haushaltseinkommen (AOR 1,73). Unterschiede zwischen Siedlungen (18,8–66,7%, p&lt;0,001) zeigen relevante Umgebungseffekte.</w:t>
      </w:r>
    </w:p>
    <w:p>
      <w:r>
        <w:rPr>
          <w:b/>
          <w:sz w:val="19"/>
        </w:rPr>
        <w:t xml:space="preserve">Übertragbarkeit: </w:t>
      </w:r>
      <w:r>
        <w:rPr>
          <w:sz w:val="19"/>
        </w:rPr>
        <w:t>Türkei, vergleichbare ressourcenbegrenzte Gesundheitssysteme, Vulnerable Populationen</w:t>
      </w:r>
    </w:p>
    <w:p>
      <w:r>
        <w:rPr>
          <w:color w:val="5A7D3A"/>
          <w:sz w:val="18"/>
        </w:rPr>
        <w:t>https://pubmed.ncbi.nlm.nih.gov/42778259/</w:t>
      </w:r>
    </w:p>
    <w:p>
      <w:pPr>
        <w:pStyle w:val="Heading2"/>
      </w:pPr>
      <w:r>
        <w:t>Adipositaschirurgie bei MASLD: Fibroseregression und Reduktion von HCC-Inzidenz belegt</w:t>
      </w:r>
    </w:p>
    <w:p>
      <w:r>
        <w:rPr>
          <w:i/>
          <w:color w:val="666666"/>
          <w:sz w:val="18"/>
        </w:rPr>
        <w:t>Tuffs C et al.  ·  Z Gastroenterol  ·  23.09.2026  ·  PMID 42777698</w:t>
      </w:r>
    </w:p>
    <w:p>
      <w:r>
        <w:t>Narrative Übersichtsarbeit zur metabolischen und bariatrischen Chirurgie (MBS) bei metabolischer Dysfunktion-assoziierter steatotischer Lebererkrankung (MASLD): Synthese von Evidenz zu klinischen Outcomes, Wirksamkeit und Mechanismen mit Fokus auf Folgeerkrankungen.</w:t>
      </w:r>
    </w:p>
    <w:p>
      <w:r>
        <w:rPr>
          <w:b/>
        </w:rPr>
        <w:t xml:space="preserve">Ergebnis: </w:t>
      </w:r>
      <w:r>
        <w:t>Histologie-basierte Studien zeigen MASLD-Remission und relevante Fibroseregression nach MBS mit anhaltenden Effekten. Vergleichende Studien belegen Überlegenheit gegenüber Lebensstilintervention und konservativer Therapie; direkte Vergleiche mit modernen Medikamenten (z. B. GLP-1-Agonisten) sind begrenzt. Neue Erkenntnisse deuten auf weniger Leberkomplikationen und niedrigere HCC-Inzidenz nach MBS hin. MBS wirkt nicht nur durch Gewichtsverlust, sondern durch multiple metabolische Effekte (Hepatische Lipidmetabolismus, Mitochondrienfunktion, Glukosemetabolismus, Inkretin- und Gallensäure-Signaling, Adipokinobiologie, Gut-Leber-Achse).</w:t>
      </w:r>
    </w:p>
    <w:p>
      <w:r>
        <w:rPr>
          <w:b/>
          <w:sz w:val="19"/>
        </w:rPr>
        <w:t xml:space="preserve">Übertragbarkeit: </w:t>
      </w:r>
      <w:r>
        <w:rPr>
          <w:sz w:val="19"/>
        </w:rPr>
        <w:t>Deutschland, Universitätsklinik Gießen, Adipositaschirurgie Regelversorgung, Kostenübernahme durch Einzelfallprüfung</w:t>
      </w:r>
    </w:p>
    <w:p>
      <w:r>
        <w:rPr>
          <w:color w:val="5A7D3A"/>
          <w:sz w:val="18"/>
        </w:rPr>
        <w:t>https://pubmed.ncbi.nlm.nih.gov/42777698/</w:t>
      </w:r>
    </w:p>
    <w:p>
      <w:pPr>
        <w:pStyle w:val="Heading2"/>
      </w:pPr>
      <w:r>
        <w:t>Lebensstiländerungen erhöhen regelmäßige Menstruation bei PCOS um 303%, senken Glucose und Insulin</w:t>
      </w:r>
    </w:p>
    <w:p>
      <w:r>
        <w:rPr>
          <w:i/>
          <w:color w:val="666666"/>
          <w:sz w:val="18"/>
        </w:rPr>
        <w:t>Olalere O et al.  ·  PLoS Med  ·  23.09.2026  ·  PMID 42776991</w:t>
      </w:r>
    </w:p>
    <w:p>
      <w:r>
        <w:t>Systematische Übersicht und Metaanalyse von 34 RCTs mit 1.871 Frauen zum Vergleich von Lebensstiländerungen versus minimale oder keine Behandlung bei Polyendokrinem Metabolischem Ovarialsyndrom (PMOS).</w:t>
      </w:r>
    </w:p>
    <w:p>
      <w:r>
        <w:rPr>
          <w:b/>
        </w:rPr>
        <w:t xml:space="preserve">Ergebnis: </w:t>
      </w:r>
      <w:r>
        <w:t>Frauen mit Lebensstiländerungen zeigten höhere Chancen für regelmäßige Menstruationszyklen (OR 4,03, 95% CI 1,16–14,05). Reduktion der Taillenumfang (MD −2,38 cm, 95% CI −4,68 bis −0,08), Nüchternglukose (MD −0,13 mmol/L, 95% CI −0,25 bis −0,02) und Nüchterninsulin (MD −6,08 mU/L, 95% CI −9,86 bis −2,30) gegenüber Kontrollgruppe. Diät wirkte am stärksten auf Glukose, Bewegung auf Taillenumfang und Nüchterninsulin. Effekte größer bei Übergewicht/Adipositas.</w:t>
      </w:r>
    </w:p>
    <w:p>
      <w:r>
        <w:rPr>
          <w:b/>
          <w:sz w:val="19"/>
        </w:rPr>
        <w:t xml:space="preserve">Übertragbarkeit: </w:t>
      </w:r>
      <w:r>
        <w:rPr>
          <w:sz w:val="19"/>
        </w:rPr>
        <w:t>Internationale, gut übertragbar auf deutsches Gesundheitssystem</w:t>
      </w:r>
    </w:p>
    <w:p>
      <w:r>
        <w:rPr>
          <w:color w:val="5A7D3A"/>
          <w:sz w:val="18"/>
        </w:rPr>
        <w:t>https://pubmed.ncbi.nlm.nih.gov/42776991/</w:t>
      </w:r>
    </w:p>
    <w:p>
      <w:pPr>
        <w:pStyle w:val="Heading2"/>
      </w:pPr>
      <w:r>
        <w:t>Multikomponentige Interventionen senken Übergewicht bei Kindern wirksamer als Einzelmaßnahmen</w:t>
      </w:r>
    </w:p>
    <w:p>
      <w:r>
        <w:rPr>
          <w:i/>
          <w:color w:val="666666"/>
          <w:sz w:val="18"/>
        </w:rPr>
        <w:t>Chandiok K et al.  ·  Front Public Health  ·  08.09.2026  ·  PMID 42774859</w:t>
      </w:r>
    </w:p>
    <w:p>
      <w:r>
        <w:t>Rapid Review von 77 systematischen Übersichten zu Präventions- und Managementinterventionen bei Übergewicht und Adipositas im Kindes- und Jugendalter.</w:t>
      </w:r>
    </w:p>
    <w:p>
      <w:r>
        <w:rPr>
          <w:b/>
        </w:rPr>
        <w:t xml:space="preserve">Ergebnis: </w:t>
      </w:r>
      <w:r>
        <w:t>Multikomponentige Interventionen, die Ernährung, Bewegung und Verhaltensstrategien kombinieren, zeigten die konsistenteste Wirksamkeit bei Verbesserung anthropometrischer Outcomes. Familieneinbeziehung, schulische Durchführung und frühzeitige Intervention in der Kindheit erhöhten die Effektivität. Einzelkomponentige Interventionen zeigten begrenzte oder gemischte Effekte. Die meisten eingeschlossenen Reviews hatten niedriger bis kritisch niedriger methodischer Qualität.</w:t>
      </w:r>
    </w:p>
    <w:p>
      <w:r>
        <w:rPr>
          <w:b/>
          <w:sz w:val="19"/>
        </w:rPr>
        <w:t xml:space="preserve">Übertragbarkeit: </w:t>
      </w:r>
      <w:r>
        <w:rPr>
          <w:sz w:val="19"/>
        </w:rPr>
        <w:t>Internationale Evidenz; Implementierbarkeit in deutschen Schulen und Kitas unklar</w:t>
      </w:r>
    </w:p>
    <w:p>
      <w:r>
        <w:rPr>
          <w:color w:val="5A7D3A"/>
          <w:sz w:val="18"/>
        </w:rPr>
        <w:t>https://pubmed.ncbi.nlm.nih.gov/42774859/</w:t>
      </w:r>
    </w:p>
    <w:p>
      <w:pPr>
        <w:pStyle w:val="Heading2"/>
      </w:pPr>
      <w:r>
        <w:t>Adipositas als verkörperter und sozialer Burden: Qualitative Analyse von 23 Patienten mit realistischer Körperwahrnehmung</w:t>
      </w:r>
    </w:p>
    <w:p>
      <w:r>
        <w:rPr>
          <w:i/>
          <w:color w:val="666666"/>
          <w:sz w:val="18"/>
        </w:rPr>
        <w:t>Kurt AK et al.  ·  BMC Psychol  ·  26.08.2026  ·  PMID 42773484</w:t>
      </w:r>
    </w:p>
    <w:p>
      <w:r>
        <w:t>Qualitative interpretivist Studie mit 23 Erwachsenen einer Adipositasambulanz (Mai–August 2025) mit realistischer Körperwahrnehmung (Konkordanz zwischen gemessenem BMI und ausgewählter Silhouette), mittels 20–30 min Interviews und Thematischer Analyse nach Braun &amp; Clarke.</w:t>
      </w:r>
    </w:p>
    <w:p>
      <w:r>
        <w:rPr>
          <w:b/>
        </w:rPr>
        <w:t xml:space="preserve">Ergebnis: </w:t>
      </w:r>
      <w:r>
        <w:t>Vier übergeordnete Themen: (1) Gesundheit, Funktionsfähigkeit und tägliches Leben (Adipositas als durchdringende Belastung, die alltägliche Aktivitäten einschränkt); (2) Körperbild und emotionale Erfahrung (emotional belastend durch negative Körperwahrnehmung und soziale Stigmatisierung); (3) Erklärungsmodelle und wahrgenommene Ursachen (multifaktoriale Narrative: Lebensstil, Stress, Biologie/Medikation, Haushaltsroutinen, Food Environment); (4) Kampf um Veränderung und Lösungssuche (wiederholte Zyklen von Versuchen, Plateaus und Wiederzunahme, starker Wunsch nach professioneller Unterstützung).</w:t>
      </w:r>
    </w:p>
    <w:p>
      <w:r>
        <w:rPr>
          <w:b/>
          <w:sz w:val="19"/>
        </w:rPr>
        <w:t xml:space="preserve">Übertragbarkeit: </w:t>
      </w:r>
      <w:r>
        <w:rPr>
          <w:sz w:val="19"/>
        </w:rPr>
        <w:t>Türkei, urbaner klinischer Kontext, grundlegende Mechanismen der Versorgung</w:t>
      </w:r>
    </w:p>
    <w:p>
      <w:r>
        <w:rPr>
          <w:color w:val="5A7D3A"/>
          <w:sz w:val="18"/>
        </w:rPr>
        <w:t>https://pubmed.ncbi.nlm.nih.gov/42773484/</w:t>
      </w:r>
    </w:p>
    <w:p>
      <w:pPr>
        <w:pStyle w:val="Heading2"/>
      </w:pPr>
      <w:r>
        <w:t>Orale und Darm-Mikrobiota vor Adipositaschirurgie vorhersagen Gewichtsverlust nach Operation</w:t>
      </w:r>
    </w:p>
    <w:p>
      <w:r>
        <w:rPr>
          <w:i/>
          <w:color w:val="666666"/>
          <w:sz w:val="18"/>
        </w:rPr>
        <w:t>Alwali A et al.  ·  Clin Nutr ESPEN  ·  12.08.2026  ·  PMID 42586481</w:t>
      </w:r>
    </w:p>
    <w:p>
      <w:r>
        <w:t>Pilotstudie mit 33 Patienten unter bariatrischer Chirurgie: Erfassung von Stuhlfauna, oralem Mikrobiom, Serum und Fettgewebe präoperativ und 6 Monate postoperativ mit 16S-rRNA-Sequenzierung zur Vorhersage des Überschussgewichtsverlusts (EWL).</w:t>
      </w:r>
    </w:p>
    <w:p>
      <w:r>
        <w:rPr>
          <w:b/>
        </w:rPr>
        <w:t xml:space="preserve">Ergebnis: </w:t>
      </w:r>
      <w:r>
        <w:t>Höhere Diversität der oralen Mikrobiota präoperativ war mit stärkerem postoperativem EWL assoziiert. Stuhlfauna-Diversität stieg nach OP und korrelierte mit EWL. Erhöhte postoperative Häufigkeit von Alistipes bei besten EWL-Ergebnissen. Veillonella im Mund präoperativ positiv mit Response assoziiert. Bakterielle Profile in subkutanem Fett (nicht viszeral, nicht Serum) zeigten Assoziation mit EWL (R²=0,097, p=0,006) und BMI (R²=0,055, p=0,017).</w:t>
      </w:r>
    </w:p>
    <w:p>
      <w:r>
        <w:rPr>
          <w:b/>
          <w:sz w:val="19"/>
        </w:rPr>
        <w:t xml:space="preserve">Übertragbarkeit: </w:t>
      </w:r>
      <w:r>
        <w:rPr>
          <w:sz w:val="19"/>
        </w:rPr>
        <w:t>Deutschland, schleswig-holsteinische Universitätskliniken, vergleichbare Versorgungsstrukturen</w:t>
      </w:r>
    </w:p>
    <w:p>
      <w:r>
        <w:rPr>
          <w:color w:val="5A7D3A"/>
          <w:sz w:val="18"/>
        </w:rPr>
        <w:t>https://pubmed.ncbi.nlm.nih.gov/42586481/</w:t>
      </w:r>
    </w:p>
    <w:p>
      <w:pPr>
        <w:pStyle w:val="Heading1"/>
      </w:pPr>
      <w:r>
        <w:t>Aufgenommen am 23.09.2026</w:t>
      </w:r>
    </w:p>
    <w:p>
      <w:pPr>
        <w:pStyle w:val="Heading2"/>
      </w:pPr>
      <w:r>
        <w:t>Bariatrische Chirurgie kosteneffektiver als GLP-1-Rezeptoragonisten bei Kniearthrose mit Adipositas</w:t>
      </w:r>
    </w:p>
    <w:p>
      <w:r>
        <w:rPr>
          <w:i/>
          <w:color w:val="666666"/>
          <w:sz w:val="18"/>
        </w:rPr>
        <w:t>Gao Y et al.  ·  BMJ Open  ·  22.09.2026  ·  PMID 42772870</w:t>
      </w:r>
    </w:p>
    <w:p>
      <w:r>
        <w:t>Systematische Übersicht (n=8 Studien) zur Kosteneffektivität von Gewichtsverlustinterventionen bei Kniearthrose und Adipositas; Vergleich von Kombinationsprogrammen (Diät+Bewegung), Chirurgie und Pharmakotherapie mittels QALY und ICER.</w:t>
      </w:r>
    </w:p>
    <w:p>
      <w:r>
        <w:rPr>
          <w:b/>
        </w:rPr>
        <w:t xml:space="preserve">Ergebnis: </w:t>
      </w:r>
      <w:r>
        <w:t>Kombinierte Diät-/Bewegungsprogramme: ICER £16.915–£31.305/QALY mit QALY-Gewinn 0,05–0,16; bariatrische Chirurgie: ICER £4.361–£19.303/QALY, QALY 0,81–1,7; GLP-1-Rezeptoragonisten: ICER £32.265–£35.832/QALY. Nach UK-Schwellen (£25.000–£35.000/QALY) ist Chirurgie kosteneffektiv; Pharmakotherapie an Grenze.</w:t>
      </w:r>
    </w:p>
    <w:p>
      <w:r>
        <w:rPr>
          <w:b/>
          <w:sz w:val="19"/>
        </w:rPr>
        <w:t xml:space="preserve">Übertragbarkeit: </w:t>
      </w:r>
      <w:r>
        <w:rPr>
          <w:sz w:val="19"/>
        </w:rPr>
        <w:t>UK-Schwellenwerte; Übertragbarkeit auf Deutschland eingeschränkt (GLP-1 dort nicht erstattet, Erstattungswege für Chirurgie unterschiedlich)</w:t>
      </w:r>
    </w:p>
    <w:p>
      <w:r>
        <w:rPr>
          <w:color w:val="5A7D3A"/>
          <w:sz w:val="18"/>
        </w:rPr>
        <w:t>https://pubmed.ncbi.nlm.nih.gov/42772870/</w:t>
      </w:r>
    </w:p>
    <w:p>
      <w:pPr>
        <w:pStyle w:val="Heading2"/>
      </w:pPr>
      <w:r>
        <w:t>Konsistente moderate Gewichtsabnahme bei Kindern prognostiziert langfristige Therapieerfolge besser als rapide Abnahme</w:t>
      </w:r>
    </w:p>
    <w:p>
      <w:r>
        <w:rPr>
          <w:i/>
          <w:color w:val="666666"/>
          <w:sz w:val="18"/>
        </w:rPr>
        <w:t>Saelens BE et al.  ·  Pediatr Obes  ·  Sept. 2026  ·  PMID 42770536</w:t>
      </w:r>
    </w:p>
    <w:p>
      <w:r>
        <w:t>Latenklassen-Analyse (N=294 Kinder, 7–11 Jahre) mit BMI-Verlauf während und nach Adipositasbehandlung (Verhaltensintervention); Identifikation von drei Gewichtsverlauf-Mustern und deren Vorhersage für BMI z-Score nach 1-Jahres-Nachverfolgung.</w:t>
      </w:r>
    </w:p>
    <w:p>
      <w:r>
        <w:rPr>
          <w:b/>
        </w:rPr>
        <w:t xml:space="preserve">Ergebnis: </w:t>
      </w:r>
      <w:r>
        <w:t>Drei Klassen: schnelle Abnahme dann stabil (6%), konsistent moderate Abnahme (43%), moderate abnehmend (51%). Konsistent moderate Gewichtsabnahme zeigte stabilste Ergebnisse im Follow-up (BMI z-Score-Anstieg minimal vs. Anstieg in anderen Gruppen, p=0,017). Rapide initial Gewichtsabnahme nicht mit besseren Langzeitergebnissen assoziiert.</w:t>
      </w:r>
    </w:p>
    <w:p>
      <w:r>
        <w:rPr>
          <w:b/>
          <w:sz w:val="19"/>
        </w:rPr>
        <w:t xml:space="preserve">Übertragbarkeit: </w:t>
      </w:r>
      <w:r>
        <w:rPr>
          <w:sz w:val="19"/>
        </w:rPr>
        <w:t>USA, generalisierbar für verhaltensbasierte Interventionen in Kinder-Adipositasprogrammen</w:t>
      </w:r>
    </w:p>
    <w:p>
      <w:r>
        <w:rPr>
          <w:color w:val="5A7D3A"/>
          <w:sz w:val="18"/>
        </w:rPr>
        <w:t>https://pubmed.ncbi.nlm.nih.gov/42770536/</w:t>
      </w:r>
    </w:p>
    <w:p>
      <w:pPr>
        <w:pStyle w:val="Heading2"/>
      </w:pPr>
      <w:r>
        <w:t>Strukturierte Familienunterstützung (Co-Fam) bei Adipositas von Kindern: Versorgungsmodell mit Implementationsprüfung</w:t>
      </w:r>
    </w:p>
    <w:p>
      <w:r>
        <w:rPr>
          <w:i/>
          <w:color w:val="666666"/>
          <w:sz w:val="18"/>
        </w:rPr>
        <w:t>Berdman I et al.  ·  BMC Public Health  ·  21.09.2026  ·  PMID 42768347</w:t>
      </w:r>
    </w:p>
    <w:p>
      <w:r>
        <w:t>Randomisierte Hybrid-Studie in Schweden zum Vergleich eines strukturierten 12-Monate-Programms (More and Less) mit Standardversorgung bei adipösen Kindern (6–12 Jahre); Primäre Ergebnis: BMI z-Score und Übergewichts-/Adipositasprävalenz nach 3 und 12 Monaten; sekundär: elterliche Fütterungspraktiken, körperliche Aktivität und Implementierungstreue.</w:t>
      </w:r>
    </w:p>
    <w:p>
      <w:r>
        <w:rPr>
          <w:b/>
        </w:rPr>
        <w:t xml:space="preserve">Ergebnis: </w:t>
      </w:r>
      <w:r>
        <w:t>Studienprotokoll; Ergebnisse noch ausstehend. Erwartung: Effektivitäts- und Implementierungsdaten werden die Skalierbarkeit des integrierten Modells (Schulprogramm + Primärversorgung) informieren.</w:t>
      </w:r>
    </w:p>
    <w:p>
      <w:r>
        <w:rPr>
          <w:b/>
          <w:sz w:val="19"/>
        </w:rPr>
        <w:t xml:space="preserve">Übertragbarkeit: </w:t>
      </w:r>
      <w:r>
        <w:rPr>
          <w:sz w:val="19"/>
        </w:rPr>
        <w:t>Schweden, vergleichbar strukturiertes Gesundheitssystem mit schulischer Gesundheitsüberwachung</w:t>
      </w:r>
    </w:p>
    <w:p>
      <w:r>
        <w:rPr>
          <w:color w:val="5A7D3A"/>
          <w:sz w:val="18"/>
        </w:rPr>
        <w:t>https://pubmed.ncbi.nlm.nih.gov/42768347/</w:t>
      </w:r>
    </w:p>
    <w:p>
      <w:pPr>
        <w:pStyle w:val="Heading2"/>
      </w:pPr>
      <w:r>
        <w:t>GLP-1-Rezeptoragonisten (Dulaglutid, Semaglutid) senken HbA1c und Gewicht in afroamerikanischer Bevölkerung</w:t>
      </w:r>
    </w:p>
    <w:p>
      <w:r>
        <w:rPr>
          <w:i/>
          <w:color w:val="666666"/>
          <w:sz w:val="18"/>
        </w:rPr>
        <w:t>Deas C et al.  ·  J Health Care Poor Underserved  ·  2026  ·  PMID 42766517</w:t>
      </w:r>
    </w:p>
    <w:p>
      <w:r>
        <w:t>Retrospektive Kohortenstudie (N=91 Patienten, 85,7% afroamerikanisch) zu realen Effekten von Dulaglutid und Semaglutid auf HbA1c und Gewicht über durchschnittlich 14,9 Monate; Vergleich von Dosisgruppen.</w:t>
      </w:r>
    </w:p>
    <w:p>
      <w:r>
        <w:rPr>
          <w:b/>
        </w:rPr>
        <w:t xml:space="preserve">Ergebnis: </w:t>
      </w:r>
      <w:r>
        <w:t>HbA1c-Reduktion um 2,39% (p&lt;0,001); Gewichtsabnahme 4,76 kg (p&lt;0,001). Hochdosis-Dulaglutid signifikant stärkere HbA1c-Senkung als Niedrigdosis (p=0,023). Ergebnis dokumentiert Wirksamkeit in unterrepräsentierter Population, aber ohne Vergleichsgruppe und ohne Daten zu Folgeerkrankungen.</w:t>
      </w:r>
    </w:p>
    <w:p>
      <w:r>
        <w:rPr>
          <w:b/>
          <w:sz w:val="19"/>
        </w:rPr>
        <w:t xml:space="preserve">Übertragbarkeit: </w:t>
      </w:r>
      <w:r>
        <w:rPr>
          <w:sz w:val="19"/>
        </w:rPr>
        <w:t>USA; Übertragbarkeit zu Wirksamkeit begrenzt – in Deutschland Paragraf 34 SGB V schließt GLP-1 von Kostenübernahme aus</w:t>
      </w:r>
    </w:p>
    <w:p>
      <w:r>
        <w:rPr>
          <w:color w:val="5A7D3A"/>
          <w:sz w:val="18"/>
        </w:rPr>
        <w:t>https://pubmed.ncbi.nlm.nih.gov/42766517/</w:t>
      </w:r>
    </w:p>
    <w:p>
      <w:pPr>
        <w:pStyle w:val="Heading2"/>
      </w:pPr>
      <w:r>
        <w:t>Höherer BMI mit besserer Tumorregression bei Ösophaguskarzinom – Paradox aus deutschem Registeranalyse</w:t>
      </w:r>
    </w:p>
    <w:p>
      <w:r>
        <w:rPr>
          <w:i/>
          <w:color w:val="666666"/>
          <w:sz w:val="18"/>
        </w:rPr>
        <w:t>Otto SD et al.  ·  Cancer Med  ·  Sept. 2026  ·  PMID 42760794</w:t>
      </w:r>
    </w:p>
    <w:p>
      <w:r>
        <w:t>Prospektive Registeranalyse (DGAV, N=647 Patienten mit Ösophaguskarzinom) zur Assoziation zwischen BMI und histopathologischem Tumorreggressionsgrad nach neoadjuvanter Therapie; Hazard Ratios adjustiert für klinische und Tumorcharakteristika.</w:t>
      </w:r>
    </w:p>
    <w:p>
      <w:r>
        <w:rPr>
          <w:b/>
        </w:rPr>
        <w:t xml:space="preserve">Ergebnis: </w:t>
      </w:r>
      <w:r>
        <w:t>Unerwartet: höherer BMI mit vermindertem Risiko für höhere Becker-Grade (≥2: OR 0,97 per BMI-Einheit, p=0,04; ≥3: OR 0,93, p&lt;0,001). Keine Assoziation für Übergang zu Grad ≥1b. Autoren deuten auf unterschiedliche Tumorkobiologie hin, warnen aber vor Kausalitätsinterpretation.</w:t>
      </w:r>
    </w:p>
    <w:p>
      <w:r>
        <w:rPr>
          <w:b/>
          <w:sz w:val="19"/>
        </w:rPr>
        <w:t xml:space="preserve">Übertragbarkeit: </w:t>
      </w:r>
      <w:r>
        <w:rPr>
          <w:sz w:val="19"/>
        </w:rPr>
        <w:t>Deutsche Klinikdaten (DGAV-Register); hohe Übertragbarkeit auf deutsches Gesundheitssystem</w:t>
      </w:r>
    </w:p>
    <w:p>
      <w:r>
        <w:rPr>
          <w:color w:val="5A7D3A"/>
          <w:sz w:val="18"/>
        </w:rPr>
        <w:t>https://pubmed.ncbi.nlm.nih.gov/42760794/</w:t>
      </w:r>
    </w:p>
    <w:p>
      <w:pPr>
        <w:pStyle w:val="Heading1"/>
      </w:pPr>
      <w:r>
        <w:t>Aufgenommen am 22.09.2026</w:t>
      </w:r>
    </w:p>
    <w:p>
      <w:pPr>
        <w:pStyle w:val="Heading2"/>
      </w:pPr>
      <w:r>
        <w:t>Lipoödem wird häufig als Adipositas fehlklassifiziert – phänotypbasierte Versorgung nötig</w:t>
      </w:r>
    </w:p>
    <w:p>
      <w:r>
        <w:rPr>
          <w:i/>
          <w:color w:val="666666"/>
          <w:sz w:val="18"/>
        </w:rPr>
        <w:t>Varghese RT et al.  ·  Clin Obes  ·  Okt. 2026  ·  PMID 42767624</w:t>
      </w:r>
    </w:p>
    <w:p>
      <w:r>
        <w:t>Narrative Übersichtsarbeit zur Abgrenzung von Lipoödem (schmerzhafte, disproportionale Extremitätenfettverteilung) von generalisierter Adipositas und deren unterschiedlichen metabolischen Profilen.</w:t>
      </w:r>
    </w:p>
    <w:p>
      <w:r>
        <w:rPr>
          <w:b/>
        </w:rPr>
        <w:t xml:space="preserve">Ergebnis: </w:t>
      </w:r>
      <w:r>
        <w:t>Einige Studien berichten weniger metabolische Abnormitäten bei Lipoödem als bei BMI-gematchter Adipositas, doch fehlende Standardisierung und Referralverzerrung erschweren sichere Schlüsse. Kardiovaskuläre Risiken sollten phänotypbasiert bewertet werden – nicht allein durch BMI, sondern mit Waist-to-Height-Ratio, Körperzusammensetzung und zentralem Fett. GLP-1-RA bleiben bei etablierten Indikationen angezeigt.</w:t>
      </w:r>
    </w:p>
    <w:p>
      <w:r>
        <w:rPr>
          <w:b/>
          <w:sz w:val="19"/>
        </w:rPr>
        <w:t xml:space="preserve">Übertragbarkeit: </w:t>
      </w:r>
      <w:r>
        <w:rPr>
          <w:sz w:val="19"/>
        </w:rPr>
        <w:t>Deutschsprachige Literatur integriert, klinisch relevant für Versorgungsgerechtigkeit.</w:t>
      </w:r>
    </w:p>
    <w:p>
      <w:r>
        <w:rPr>
          <w:color w:val="5A7D3A"/>
          <w:sz w:val="18"/>
        </w:rPr>
        <w:t>https://pubmed.ncbi.nlm.nih.gov/42767624/</w:t>
      </w:r>
    </w:p>
    <w:p>
      <w:pPr>
        <w:pStyle w:val="Heading2"/>
      </w:pPr>
      <w:r>
        <w:t>GLP-1-Rezeptoragonisten senken Dekompensation und Mortalität bei älteren Patienten mit MASLD</w:t>
      </w:r>
    </w:p>
    <w:p>
      <w:r>
        <w:rPr>
          <w:i/>
          <w:color w:val="666666"/>
          <w:sz w:val="18"/>
        </w:rPr>
        <w:t>Koutouratsas T et al.  ·  Age Ageing  ·  04.09.2026  ·  PMID 42765724</w:t>
      </w:r>
    </w:p>
    <w:p>
      <w:r>
        <w:t>Retrospektive Kohortenstudie mit 43.930 Patienten ≥65 Jahren mit metabolisch-assoziierter Fettlebererkrankung (MASLD), die GLP-1-Rezeptoragonisten initiierten vs. unbehandelt; Follow-up bis 10 Jahre.</w:t>
      </w:r>
    </w:p>
    <w:p>
      <w:r>
        <w:rPr>
          <w:b/>
        </w:rPr>
        <w:t xml:space="preserve">Ergebnis: </w:t>
      </w:r>
      <w:r>
        <w:t>GLP-1-RA-Nutzer zeigten niedrigere Hazard Ratios für hepatische Dekompensation (HR 0,72, 95%-KI 0,66–0,79), Mortalität (HR 0,55, 0,52–0,58) und Krankenhausaufenthalte (HR 0,95, 0,93–0,97). MACE zeigte keine Reduktion (HR 0,98, 0,92–1,04). Häufigere gastrointestinale Ereignisse und Retinopathie wurden beobachtet.</w:t>
      </w:r>
    </w:p>
    <w:p>
      <w:r>
        <w:rPr>
          <w:b/>
          <w:sz w:val="19"/>
        </w:rPr>
        <w:t xml:space="preserve">Übertragbarkeit: </w:t>
      </w:r>
      <w:r>
        <w:rPr>
          <w:sz w:val="19"/>
        </w:rPr>
        <w:t>USA-Daten, andere Kostenübernahmeregelungen als Deutschland; Sicherheitssignale aber übertragbar.</w:t>
      </w:r>
    </w:p>
    <w:p>
      <w:r>
        <w:rPr>
          <w:color w:val="5A7D3A"/>
          <w:sz w:val="18"/>
        </w:rPr>
        <w:t>https://pubmed.ncbi.nlm.nih.gov/42765724/</w:t>
      </w:r>
    </w:p>
    <w:p>
      <w:pPr>
        <w:pStyle w:val="Heading2"/>
      </w:pPr>
      <w:r>
        <w:t>Soziale Fragmentierung im Wohngebiet assoziiert mit Übergewicht bei Mädchen – Querschnitt Porto</w:t>
      </w:r>
    </w:p>
    <w:p>
      <w:r>
        <w:rPr>
          <w:i/>
          <w:color w:val="666666"/>
          <w:sz w:val="18"/>
        </w:rPr>
        <w:t>Lourenço AC et al.  ·  Am J Hum Biol  ·  Sept. 2026  ·  PMID 42764604</w:t>
      </w:r>
    </w:p>
    <w:p>
      <w:r>
        <w:t>Querschnittstudie bei 832 Kindern (3–10 Jahre) in Porto zu Nachbarschafts-Sozialer-Fragmentierung (aus 2021-Zensus) und exzessivem Körpergewicht.</w:t>
      </w:r>
    </w:p>
    <w:p>
      <w:r>
        <w:rPr>
          <w:b/>
        </w:rPr>
        <w:t xml:space="preserve">Ergebnis: </w:t>
      </w:r>
      <w:r>
        <w:t>Keine Assoziation bei Jungen. Bei Mädchen: Die am wenigsten fragmentierten Nachbarschaften zeigten niedrigere Odds für Übergewicht vs. am meisten fragmentierte (OR 0,55, 95%-KI 0,32–0,94, p=0,030). Geschlechtsspezifische Unterschiede deuten auf unterschiedliche soziale und/oder Umgebungsmechanismen hin.</w:t>
      </w:r>
    </w:p>
    <w:p>
      <w:r>
        <w:rPr>
          <w:b/>
          <w:sz w:val="19"/>
        </w:rPr>
        <w:t xml:space="preserve">Übertragbarkeit: </w:t>
      </w:r>
      <w:r>
        <w:rPr>
          <w:sz w:val="19"/>
        </w:rPr>
        <w:t>Portugal, Zensusdaten vergleichbar mit deutschem Statistiksystem; relevant für Neighbourhood-Health-Forschung in DACH.</w:t>
      </w:r>
    </w:p>
    <w:p>
      <w:r>
        <w:rPr>
          <w:color w:val="5A7D3A"/>
          <w:sz w:val="18"/>
        </w:rPr>
        <w:t>https://pubmed.ncbi.nlm.nih.gov/42764604/</w:t>
      </w:r>
    </w:p>
    <w:p>
      <w:pPr>
        <w:pStyle w:val="Heading2"/>
      </w:pPr>
      <w:r>
        <w:t>Beta-Hydroxy-Beta-Methylbutyrat-Supplement erhöhte Muskelmasse nicht signifikant bei sarkopenischer Adipositas</w:t>
      </w:r>
    </w:p>
    <w:p>
      <w:r>
        <w:rPr>
          <w:i/>
          <w:color w:val="666666"/>
          <w:sz w:val="18"/>
        </w:rPr>
        <w:t>Fraenkel E et al.  ·  Orv Hetil  ·  20.09.2026  ·  PMID 42763880</w:t>
      </w:r>
    </w:p>
    <w:p>
      <w:r>
        <w:t>Querschnittstudie (n=48, 55–84 Jahre) mit 6-Monats-Follow-up zu HMB-haltigem Diabetes-spezifischem Nahrungsergänzungsmittel bei Patienten mit Typ-2-Diabetes, sarkopenischer Adipositas und MASLD.</w:t>
      </w:r>
    </w:p>
    <w:p>
      <w:r>
        <w:rPr>
          <w:b/>
        </w:rPr>
        <w:t xml:space="preserve">Ergebnis: </w:t>
      </w:r>
      <w:r>
        <w:t>28 von 48 Patienten zeigten Muskelmasse-Zunahme; 16 davon ≤5%, 8 &gt;5%, 4 &gt;10% des Ausgangswerts. 20 Patienten hatten Abnahmen ≤5%. Muskelmaßveränderungen erreichten keine statistische Signifikanz. Höheres Alter (OR 0,87, p=0,04) und höhere Triglyzeride (OR 0,21, p=0,05) waren negative Prädiktoren. Kleine Fallzahl, fehlende Signifikanz trotz Trend.</w:t>
      </w:r>
    </w:p>
    <w:p>
      <w:r>
        <w:rPr>
          <w:b/>
          <w:sz w:val="19"/>
        </w:rPr>
        <w:t xml:space="preserve">Übertragbarkeit: </w:t>
      </w:r>
      <w:r>
        <w:rPr>
          <w:sz w:val="19"/>
        </w:rPr>
        <w:t>Ungarn/Slowakei, kleine Kohorte; begrenzte Übertragbarkeit auf deutsche Routineversorgung.</w:t>
      </w:r>
    </w:p>
    <w:p>
      <w:r>
        <w:rPr>
          <w:color w:val="5A7D3A"/>
          <w:sz w:val="18"/>
        </w:rPr>
        <w:t>https://pubmed.ncbi.nlm.nih.gov/42763880/</w:t>
      </w:r>
    </w:p>
    <w:p>
      <w:pPr>
        <w:pStyle w:val="Heading2"/>
      </w:pPr>
      <w:r>
        <w:t>Metabolisches Syndrom-Inzidenz in Südxinjiang: 32,06 pro 1000 Personenjahre, höher bei Männern</w:t>
      </w:r>
    </w:p>
    <w:p>
      <w:r>
        <w:rPr>
          <w:i/>
          <w:color w:val="666666"/>
          <w:sz w:val="18"/>
        </w:rPr>
        <w:t>Gu SJ et al.  ·  Zhonghua Liu Xing Bing Xue Za Zhi  ·  10.09.2026  ·  PMID 42763190</w:t>
      </w:r>
    </w:p>
    <w:p>
      <w:r>
        <w:t>Prospektive ländliche Kohortenstudie (n=12.813, 2016–2024) in Südxinjiang mit Latenter-Klassen-Analyse und Cox-Regressionen zu Metabolischem Syndrom (MS).</w:t>
      </w:r>
    </w:p>
    <w:p>
      <w:r>
        <w:rPr>
          <w:b/>
        </w:rPr>
        <w:t xml:space="preserve">Ergebnis: </w:t>
      </w:r>
      <w:r>
        <w:t>MS-Inzidenz 32,06/1000 Personenjahre; Männer 37,25, Frauen 27,89/1000 PJ. Unabhängige Risikofaktoren: Alter &gt;30 Jahre, Übergewicht/Adipositas, abnormales LDL-C, abnormale Gamma-Glutamyl-Transferase, high-TG–high-waist-circumference-Phänotyp, hypertension–high-waist-circumference-Phänotyp (alle HR&gt;1,00, p&lt;0,05). 31–60 Jahre: höchste Risikokonzentration. Sekundarschulbildung senkte Risiko. Geschlechts- und Altersspezifische Unterschiede in Risikofaktoren.</w:t>
      </w:r>
    </w:p>
    <w:p>
      <w:r>
        <w:rPr>
          <w:b/>
          <w:sz w:val="19"/>
        </w:rPr>
        <w:t xml:space="preserve">Übertragbarkeit: </w:t>
      </w:r>
      <w:r>
        <w:rPr>
          <w:sz w:val="19"/>
        </w:rPr>
        <w:t>China, aber Präventions- und Screening-Framework auf Hochrisiko-Populationen in Deutschland übertragbar.</w:t>
      </w:r>
    </w:p>
    <w:p>
      <w:r>
        <w:rPr>
          <w:color w:val="5A7D3A"/>
          <w:sz w:val="18"/>
        </w:rPr>
        <w:t>https://pubmed.ncbi.nlm.nih.gov/42763190/</w:t>
      </w:r>
    </w:p>
    <w:p>
      <w:pPr>
        <w:pStyle w:val="Heading2"/>
      </w:pPr>
      <w:r>
        <w:t>Polygene Risikoscores und Adipositas erhöhen Progression von Typ-2-Diabetes zu Darmkrebs-Komorbiditäten</w:t>
      </w:r>
    </w:p>
    <w:p>
      <w:r>
        <w:rPr>
          <w:i/>
          <w:color w:val="666666"/>
          <w:sz w:val="18"/>
        </w:rPr>
        <w:t>Liu B et al.  ·  BMC Cancer  ·  20.08.2026  ·  PMID 42754861</w:t>
      </w:r>
    </w:p>
    <w:p>
      <w:r>
        <w:t>Chinesische Populationsstudie (n=805, vier Gruppen) mit genetischen Daten zu T2D-Darmkrebs-Komorbiditäten, Polygene Risikoscores (PRS) und BMI-Wechselwirkungen.</w:t>
      </w:r>
    </w:p>
    <w:p>
      <w:r>
        <w:rPr>
          <w:b/>
        </w:rPr>
        <w:t xml:space="preserve">Ergebnis: </w:t>
      </w:r>
      <w:r>
        <w:t>T2D-CRC-Komorbiditäts-Gruppe hatte höhere PRS für beide Erkrankungen als Kontrollen. T2D-PRS: Borderline-Assoziation mit isoliertem Darmkrebs-Risiko (OR 1,24, p=0,046). BMI modifizierte die Assoziation zwischen CRC-genetischer Last und Risiko signifikant (OR 1,75, 95%-KI 1,27–2,34; p=0,033), stärker in Übergewichtigen. Transitionsrisiko von T2D zu Komorbiditäten mit erhöhter CRC-genetischer Last (HR 1,21, p=0,037).</w:t>
      </w:r>
    </w:p>
    <w:p>
      <w:r>
        <w:rPr>
          <w:b/>
          <w:sz w:val="19"/>
        </w:rPr>
        <w:t xml:space="preserve">Übertragbarkeit: </w:t>
      </w:r>
      <w:r>
        <w:rPr>
          <w:sz w:val="19"/>
        </w:rPr>
        <w:t>China, aber genetisch vergleichbare Populationen; epidemiologisches Konzept auf DACH übertragbar.</w:t>
      </w:r>
    </w:p>
    <w:p>
      <w:r>
        <w:rPr>
          <w:color w:val="5A7D3A"/>
          <w:sz w:val="18"/>
        </w:rPr>
        <w:t>https://pubmed.ncbi.nlm.nih.gov/42754861/</w:t>
      </w:r>
    </w:p>
    <w:p>
      <w:pPr>
        <w:pStyle w:val="Heading2"/>
      </w:pPr>
      <w:r>
        <w:t>Genetische Varianten für Antipsychotika-induzierte Gewichtszunahme: Systematische Übersicht von 53 Studien</w:t>
      </w:r>
    </w:p>
    <w:p>
      <w:r>
        <w:rPr>
          <w:i/>
          <w:color w:val="666666"/>
          <w:sz w:val="18"/>
        </w:rPr>
        <w:t>Kronenbuerger M et al.  ·  Schizophr Res  ·  21.07.2026  ·  PMID 42480244</w:t>
      </w:r>
    </w:p>
    <w:p>
      <w:r>
        <w:t>Systematische Übersicht (PRISMA) von 2018–2026 zu Polymorphismen und epigenetischen Markern, die mit Antipsychotika-induzierter Gewichtszunahme (AIWG) assoziiert sind.</w:t>
      </w:r>
    </w:p>
    <w:p>
      <w:r>
        <w:rPr>
          <w:b/>
        </w:rPr>
        <w:t xml:space="preserve">Ergebnis: </w:t>
      </w:r>
      <w:r>
        <w:t>DRD2, HTR2C, MC4R wurden in Kandidaten-Gen-Studien am konsistentesten repliziert. Genome-wide association studies identifizierten novel associations (MAP2K1, ZDBF2, PEPD). Kein einzelner genetischer Marker ist klinisch anwendungsreif; Multi-Omics und Mehrahnenstudien sind notwendig. 53 eingeschlossene Studien, begrenzte Replikation und methodische Heterogenität.</w:t>
      </w:r>
    </w:p>
    <w:p>
      <w:r>
        <w:rPr>
          <w:b/>
          <w:sz w:val="19"/>
        </w:rPr>
        <w:t xml:space="preserve">Übertragbarkeit: </w:t>
      </w:r>
      <w:r>
        <w:rPr>
          <w:sz w:val="19"/>
        </w:rPr>
        <w:t>Psychiatrische Versorgung in Deutschland betroffen; keine direkten Handlungsempfehlungen für Praxis, aber relevant für Risikoprävention.</w:t>
      </w:r>
    </w:p>
    <w:p>
      <w:r>
        <w:rPr>
          <w:color w:val="5A7D3A"/>
          <w:sz w:val="18"/>
        </w:rPr>
        <w:t>https://pubmed.ncbi.nlm.nih.gov/42480244/</w:t>
      </w:r>
    </w:p>
    <w:p>
      <w:pPr>
        <w:pStyle w:val="Heading1"/>
      </w:pPr>
      <w:r>
        <w:t>Aufgenommen am 21.09.2026</w:t>
      </w:r>
    </w:p>
    <w:p>
      <w:pPr>
        <w:pStyle w:val="Heading2"/>
      </w:pPr>
      <w:r>
        <w:t>Liraglutide halbierte Rate unerwünschter Wirkungen, Gewichtsverlust 8,5 kg über 26 Wochen in Taiwan</w:t>
      </w:r>
    </w:p>
    <w:p>
      <w:r>
        <w:rPr>
          <w:i/>
          <w:color w:val="666666"/>
          <w:sz w:val="18"/>
        </w:rPr>
        <w:t>Tu ST et al.  ·  Endocrinol Diabetes Metab  ·  Sept. 2026  ·  PMID 42762462</w:t>
      </w:r>
    </w:p>
    <w:p>
      <w:r>
        <w:t>Prospektive Post-Marketing-Überwachung von Liraglutid (GLP-1-Rezeptoragonist) bei 259 Erwachsenen mit Adipositas in Taiwan über 26 Wochen mit Erfassung von Sicherheit und Gewichtsveränderung.</w:t>
      </w:r>
    </w:p>
    <w:p>
      <w:r>
        <w:rPr>
          <w:b/>
        </w:rPr>
        <w:t xml:space="preserve">Ergebnis: </w:t>
      </w:r>
      <w:r>
        <w:t>Unerwünschte Ereignisse in 11,2 % (90,9 % mild); Gewichtsverlust Woche 13: −5,7 ± 3,5 kg, Woche 26: −8,5 ± 5,7 kg; ≥5 % Gewichtsabnahme bei 76,7 % in Woche 26; Blutdrucksenkung 10,4 ± 18,9 mmHg. Hauptbarriere: Medikamentenkosten (49,0 % Dosiseskalation nicht durchgeführt).</w:t>
      </w:r>
    </w:p>
    <w:p>
      <w:r>
        <w:rPr>
          <w:b/>
          <w:sz w:val="19"/>
        </w:rPr>
        <w:t xml:space="preserve">Übertragbarkeit: </w:t>
      </w:r>
      <w:r>
        <w:rPr>
          <w:sz w:val="19"/>
        </w:rPr>
        <w:t>Taiwan – asymmetrische Kostenübernahme, in Deutschland ausgeschlossen</w:t>
      </w:r>
    </w:p>
    <w:p>
      <w:r>
        <w:rPr>
          <w:color w:val="5A7D3A"/>
          <w:sz w:val="18"/>
        </w:rPr>
        <w:t>https://pubmed.ncbi.nlm.nih.gov/42762462/</w:t>
      </w:r>
    </w:p>
    <w:p>
      <w:pPr>
        <w:pStyle w:val="Heading2"/>
      </w:pPr>
      <w:r>
        <w:t>Ernährungs-Verhaltens-Risiko-Index zeigte Dosis-Wirkung mit metabolischem Syndrom in Südchina</w:t>
      </w:r>
    </w:p>
    <w:p>
      <w:r>
        <w:rPr>
          <w:i/>
          <w:color w:val="666666"/>
          <w:sz w:val="18"/>
        </w:rPr>
        <w:t>Qiu J et al.  ·  Front Endocrinol (Lausanne)  ·  04.09.2026  ·  PMID 42760998</w:t>
      </w:r>
    </w:p>
    <w:p>
      <w:r>
        <w:t>Querschnittsstudie an 14.269 ländlichen Einwohnern in Nordwestchina; Konstruktion eines Ernährungs-Verhaltens-Risiko-Index (DBRI) mittels Alkire-Foster-Methode und Assoziationen mit metabolischem Syndrom.</w:t>
      </w:r>
    </w:p>
    <w:p>
      <w:r>
        <w:rPr>
          <w:b/>
        </w:rPr>
        <w:t xml:space="preserve">Ergebnis: </w:t>
      </w:r>
      <w:r>
        <w:t>DBRI quartil 4 versus 1: OR 2,61 (95%-KI: 2,29–2,98); dose-response-beziehung signifikant (p&lt;0,001); nichtlineare beziehung mit schwellenwerteffekt nahe DBRI ≈ 0,5; Lifestyle- und Ernährungsqualitäts-Score korreliert mit MetS-Prävalenz.</w:t>
      </w:r>
    </w:p>
    <w:p>
      <w:r>
        <w:rPr>
          <w:b/>
          <w:sz w:val="19"/>
        </w:rPr>
        <w:t xml:space="preserve">Übertragbarkeit: </w:t>
      </w:r>
      <w:r>
        <w:rPr>
          <w:sz w:val="19"/>
        </w:rPr>
        <w:t>China – unterschiedliche Population, vergleichbare Erhebungsmethoden</w:t>
      </w:r>
    </w:p>
    <w:p>
      <w:r>
        <w:rPr>
          <w:color w:val="5A7D3A"/>
          <w:sz w:val="18"/>
        </w:rPr>
        <w:t>https://pubmed.ncbi.nlm.nih.gov/42760998/</w:t>
      </w:r>
    </w:p>
    <w:p>
      <w:pPr>
        <w:pStyle w:val="Heading2"/>
      </w:pPr>
      <w:r>
        <w:t>Adipositaschirurgie verminderte Leberfibrose, hinterließ aber persistierende Immunaktivierung nach 6 Jahren</w:t>
      </w:r>
    </w:p>
    <w:p>
      <w:r>
        <w:rPr>
          <w:i/>
          <w:color w:val="666666"/>
          <w:sz w:val="18"/>
        </w:rPr>
        <w:t>Onoiu AI et al.  ·  Front Immunol  ·  03.09.2026  ·  PMID 42756162</w:t>
      </w:r>
    </w:p>
    <w:p>
      <w:r>
        <w:t>Immunhistochemische Analyse von Leberbiopsien aus 3 Gruppen: Adipositas mit Leberschaden vor und nach Adipositaschirurgie, und Adipositas ohne signifikante Leberschädigung; Charakterisierung des hepatischen Immunmikromilieus.</w:t>
      </w:r>
    </w:p>
    <w:p>
      <w:r>
        <w:rPr>
          <w:b/>
        </w:rPr>
        <w:t xml:space="preserve">Ergebnis: </w:t>
      </w:r>
      <w:r>
        <w:t>Nach Chirurgie: BMI-Reduktion, Verbesserung der Leberhistologie, aber persistierende lobuläre Entzündung (Median 6 Jahre FU); erhöhte CD15+-, CD56+-, CD68+-, CD163+- und CD4+-Zellen; adaptive Immunabwehr verstärkt; "nicht-normalisiertes" Immunmprofil post-OP.</w:t>
      </w:r>
    </w:p>
    <w:p>
      <w:r>
        <w:rPr>
          <w:b/>
          <w:sz w:val="19"/>
        </w:rPr>
        <w:t xml:space="preserve">Übertragbarkeit: </w:t>
      </w:r>
      <w:r>
        <w:rPr>
          <w:sz w:val="19"/>
        </w:rPr>
        <w:t>Spanien/Katalonien – vergleichbare Adipositaschirurgie-Infrastruktur</w:t>
      </w:r>
    </w:p>
    <w:p>
      <w:r>
        <w:rPr>
          <w:color w:val="5A7D3A"/>
          <w:sz w:val="18"/>
        </w:rPr>
        <w:t>https://pubmed.ncbi.nlm.nih.gov/42756162/</w:t>
      </w:r>
    </w:p>
    <w:p>
      <w:pPr>
        <w:pStyle w:val="Heading2"/>
      </w:pPr>
      <w:r>
        <w:t>Orforglipron 36 mg zeigte größere Gewichtsverluste als 12 mg bei vergleichbarem Sicherheitsprofil</w:t>
      </w:r>
    </w:p>
    <w:p>
      <w:r>
        <w:rPr>
          <w:i/>
          <w:color w:val="666666"/>
          <w:sz w:val="18"/>
        </w:rPr>
        <w:t>Hegaz MG et al.  ·  BMC Endocr Disord  ·  15.09.2026  ·  PMID 42750018</w:t>
      </w:r>
    </w:p>
    <w:p>
      <w:r>
        <w:t>Systematische Übersichtsarbeit und Meta-Analyse von 6 RCTs mit 3459 Patienten, die Orforglipron 12 mg versus 36 mg in Adipositas ± Diabetes verglichen.</w:t>
      </w:r>
    </w:p>
    <w:p>
      <w:r>
        <w:rPr>
          <w:b/>
        </w:rPr>
        <w:t xml:space="preserve">Ergebnis: </w:t>
      </w:r>
      <w:r>
        <w:t>36 mg versus 12 mg: Gewichtsverlust −2,2 % (p&lt;0,00001); HbA1c-Reduktion unterschiedlich je Diabetes-Status; Waistumfang-Reduktion signifikant; unerwünschte Ereignisse vergleichbar; kleine ALT/AST-Erhöhungen bei 36 mg.</w:t>
      </w:r>
    </w:p>
    <w:p>
      <w:r>
        <w:rPr>
          <w:b/>
          <w:sz w:val="19"/>
        </w:rPr>
        <w:t xml:space="preserve">Übertragbarkeit: </w:t>
      </w:r>
      <w:r>
        <w:rPr>
          <w:sz w:val="19"/>
        </w:rPr>
        <w:t>Generische Frage zu GLP-1, in Deutschland nicht kostenerstattet</w:t>
      </w:r>
    </w:p>
    <w:p>
      <w:r>
        <w:rPr>
          <w:color w:val="5A7D3A"/>
          <w:sz w:val="18"/>
        </w:rPr>
        <w:t>https://pubmed.ncbi.nlm.nih.gov/42750018/</w:t>
      </w:r>
    </w:p>
    <w:p>
      <w:pPr>
        <w:pStyle w:val="Heading2"/>
      </w:pPr>
      <w:r>
        <w:t>ZTV rs10968110 und FTO rs1558902 assoziiert mit Adipositas in klinischer Psoriasis-Kohorte</w:t>
      </w:r>
    </w:p>
    <w:p>
      <w:r>
        <w:rPr>
          <w:i/>
          <w:color w:val="666666"/>
          <w:sz w:val="18"/>
        </w:rPr>
        <w:t>Zhumabekova B et al.  ·  Medicina (Kaunas)  ·  26.07.2026  ·  PMID 42654346</w:t>
      </w:r>
    </w:p>
    <w:p>
      <w:r>
        <w:t>Querschnittsstudie mit 150 kasachischen Patienten mit Psoriasis (75 Übergewicht/Adipositas, 75 Kontrollen); genetische und metabolische Korrelationen mit Adipositas untersucht.</w:t>
      </w:r>
    </w:p>
    <w:p>
      <w:r>
        <w:rPr>
          <w:b/>
        </w:rPr>
        <w:t xml:space="preserve">Ergebnis: </w:t>
      </w:r>
      <w:r>
        <w:t>Im multivariaten Modell: Triglyceride OR 4,73 (95%-KI 1,36–18,57), HbA1c OR 1,71 (95%-KI 1,09–2,91), HDL-C OR 0,36 (95%-KI 0,18–0,66); ZTV rs10968110 signifikant in multiplen genetischen Modellen; FTO rs1558902 auch signifikant; CALCRL rs696574 nicht signifikant; MDR-Analyse: ZTV als stabilstes Single-Locus-Modell.</w:t>
      </w:r>
    </w:p>
    <w:p>
      <w:r>
        <w:rPr>
          <w:b/>
          <w:sz w:val="19"/>
        </w:rPr>
        <w:t xml:space="preserve">Übertragbarkeit: </w:t>
      </w:r>
      <w:r>
        <w:rPr>
          <w:sz w:val="19"/>
        </w:rPr>
        <w:t>Kasachstan – Genotyp-Befunde explorativ, Populationsübertragung begrenzt</w:t>
      </w:r>
    </w:p>
    <w:p>
      <w:r>
        <w:rPr>
          <w:color w:val="5A7D3A"/>
          <w:sz w:val="18"/>
        </w:rPr>
        <w:t>https://pubmed.ncbi.nlm.nih.gov/42654346/</w:t>
      </w:r>
    </w:p>
    <w:p>
      <w:pPr>
        <w:pStyle w:val="Heading2"/>
      </w:pPr>
      <w:r>
        <w:t>Extreme Adipositas (BMI 106,7) führte zu Ausschluss von Staging und Standard-Therapie bei Krebs</w:t>
      </w:r>
    </w:p>
    <w:p>
      <w:r>
        <w:rPr>
          <w:i/>
          <w:color w:val="666666"/>
          <w:sz w:val="18"/>
        </w:rPr>
        <w:t>Fueth M et al.  ·  J Med Case Rep  ·  24.07.2026  ·  PMID 42498956</w:t>
      </w:r>
    </w:p>
    <w:p>
      <w:r>
        <w:t>Fallbericht einer 54-jährigen Frau mit BMI 106,7 kg/m² und kutanem Angiosarkom; Dokumentation der Infrastruktur-Barrieren bei Bildgebung, Staging und Operabilität.</w:t>
      </w:r>
    </w:p>
    <w:p>
      <w:r>
        <w:rPr>
          <w:b/>
        </w:rPr>
        <w:t xml:space="preserve">Ergebnis: </w:t>
      </w:r>
      <w:r>
        <w:t>CT, MRT, PET wegen Gantry/Tisch-Limit unmöglich in allen regionalen Zentren; Patientin erhielt nur Bettseitexzision und Amputation, entwickelte Multiorganversagen, starb Tag 24; keine kurative Therapie ermöglicht.</w:t>
      </w:r>
    </w:p>
    <w:p>
      <w:r>
        <w:rPr>
          <w:b/>
          <w:sz w:val="19"/>
        </w:rPr>
        <w:t xml:space="preserve">Übertragbarkeit: </w:t>
      </w:r>
      <w:r>
        <w:rPr>
          <w:sz w:val="19"/>
        </w:rPr>
        <w:t>Deutschland – zeigt systemische Unterversorgung bei extremer Adipositas</w:t>
      </w:r>
    </w:p>
    <w:p>
      <w:r>
        <w:rPr>
          <w:color w:val="5A7D3A"/>
          <w:sz w:val="18"/>
        </w:rPr>
        <w:t>https://pubmed.ncbi.nlm.nih.gov/42498956/</w:t>
      </w:r>
    </w:p>
    <w:p>
      <w:pPr>
        <w:pStyle w:val="Heading2"/>
      </w:pPr>
      <w:r>
        <w:t>TyG-WHtR zeigte stärkste Vorhersagekraft für Aortenstenose im Metabolischen Syndrom-Spektrum</w:t>
      </w:r>
    </w:p>
    <w:p>
      <w:r>
        <w:rPr>
          <w:i/>
          <w:color w:val="666666"/>
          <w:sz w:val="18"/>
        </w:rPr>
        <w:t>Ding J et al.  ·  Front Endocrinol (Lausanne)  ·  07.07.2026  ·  PMID 42483668</w:t>
      </w:r>
    </w:p>
    <w:p>
      <w:r>
        <w:t>Prospektive Kohortenstudie mit 363.907 Teilnehmern der UK Biobank in CKM-Stadien 0–3; Assoziationen von Triglycerid-Glucose-Indizes mit inzidentem Aortenstenose-Risiko über 15,25 Jahre Nachbeobachtung.</w:t>
      </w:r>
    </w:p>
    <w:p>
      <w:r>
        <w:rPr>
          <w:b/>
        </w:rPr>
        <w:t xml:space="preserve">Ergebnis: </w:t>
      </w:r>
      <w:r>
        <w:t>3.326 Aortenstenose-Fälle; jede 1-SD-Erhöhung TyG-Index = 8–24 % erhöhtes AS-Risiko; TyG-WHtR zeigte größte Vorhersageverbesserung (C-Index 0,806); SBP mediierte 12,1–18,1 % der Assoziation.</w:t>
      </w:r>
    </w:p>
    <w:p>
      <w:r>
        <w:rPr>
          <w:b/>
          <w:sz w:val="19"/>
        </w:rPr>
        <w:t xml:space="preserve">Übertragbarkeit: </w:t>
      </w:r>
      <w:r>
        <w:rPr>
          <w:sz w:val="19"/>
        </w:rPr>
        <w:t>UK Biobank – vergleichbares System, aber Population und Risikoprofile unterscheiden sich</w:t>
      </w:r>
    </w:p>
    <w:p>
      <w:r>
        <w:rPr>
          <w:color w:val="5A7D3A"/>
          <w:sz w:val="18"/>
        </w:rPr>
        <w:t>https://pubmed.ncbi.nlm.nih.gov/42483668/</w:t>
      </w:r>
    </w:p>
    <w:p>
      <w:pPr>
        <w:pStyle w:val="Heading1"/>
      </w:pPr>
      <w:r>
        <w:t>Aufgenommen am 20.09.2026</w:t>
      </w:r>
    </w:p>
    <w:p>
      <w:pPr>
        <w:pStyle w:val="Heading2"/>
      </w:pPr>
      <w:r>
        <w:t>Einkommenslücke überlagert Adipositastrends bei schwedischen Kindern 2008-2017</w:t>
      </w:r>
    </w:p>
    <w:p>
      <w:r>
        <w:rPr>
          <w:i/>
          <w:color w:val="666666"/>
          <w:sz w:val="18"/>
        </w:rPr>
        <w:t>Bygdell M et al.  ·  BMC Public Health  ·  18.09.2026  ·  PMID 42760546</w:t>
      </w:r>
    </w:p>
    <w:p>
      <w:r>
        <w:t>Longitudinale Analyse von 210.927 Kindern seit 1952 dokumentiert erstmals eine Umkehrung von BMI-Trends – während wohlhabende Familien stabilisierten, stieg Übergewicht bei Kindern aus armen und Migrantenfamilien weiter an.</w:t>
      </w:r>
    </w:p>
    <w:p>
      <w:r>
        <w:rPr>
          <w:b/>
        </w:rPr>
        <w:t xml:space="preserve">Ergebnis: </w:t>
      </w:r>
      <w:r>
        <w:t>Nach anfänglichem Anstieg 1974–2001 und kurzem Rückgang 2002–2006 zeigten sich ab 2008 divergente Trends: Kinder mit hochgebildeten, einheimischen Eltern mit hohem Einkommen stabilisierten sich; Kinder mit niedriger Elternausbildung verschlechterten sich unabhängig vom Einkommen und Herkunftsland. Niedriges Elterneinkommen war der dominanteste Risikofaktor.</w:t>
      </w:r>
    </w:p>
    <w:p>
      <w:r>
        <w:rPr>
          <w:b/>
          <w:sz w:val="19"/>
        </w:rPr>
        <w:t xml:space="preserve">Übertragbarkeit: </w:t>
      </w:r>
      <w:r>
        <w:rPr>
          <w:sz w:val="19"/>
        </w:rPr>
        <w:t>Schweden, longitudinales Bevölkerungskohorten-Design mit Sozialstatusangaben</w:t>
      </w:r>
    </w:p>
    <w:p>
      <w:r>
        <w:rPr>
          <w:color w:val="5A7D3A"/>
          <w:sz w:val="18"/>
        </w:rPr>
        <w:t>https://pubmed.ncbi.nlm.nih.gov/42760546/</w:t>
      </w:r>
    </w:p>
    <w:p>
      <w:pPr>
        <w:pStyle w:val="Heading2"/>
      </w:pPr>
      <w:r>
        <w:t>Strukturelles Screening auf Metabolische Krankheit bei Kindern unter 12 Jahren verbessert langfristige Kardiometabolik</w:t>
      </w:r>
    </w:p>
    <w:p>
      <w:r>
        <w:rPr>
          <w:i/>
          <w:color w:val="666666"/>
          <w:sz w:val="18"/>
        </w:rPr>
        <w:t>Lindquist M et al.  ·  Mo Med  ·  Juli 2026  ·  PMID 42757297</w:t>
      </w:r>
    </w:p>
    <w:p>
      <w:r>
        <w:t>Narrative Übersichtsarbeit, die zeigt, dass Wartebeobachtung ('watchful waiting') bei adipösen Kindern unter 12 Jahren fehlschlägt – bereits massiv Insulinresistenz, Fettstoffwechselstörung und Fettleber vorhanden sind, Pubertät das nicht rückgängig macht.</w:t>
      </w:r>
    </w:p>
    <w:p>
      <w:r>
        <w:rPr>
          <w:b/>
        </w:rPr>
        <w:t xml:space="preserve">Ergebnis: </w:t>
      </w:r>
      <w:r>
        <w:t>Evidenzübersicht zeigt: Adipöse Kinder unter 12 Jahren haben bereits klinisch relevante Insulinresistenz (HOMA-IR erhöht), Dyslipidämie, Dysglykämie und metabolische Dysfunktion-assoziierte Steatose-Hepatitis (MASLD) – oft asymptomatisch. Pubertät verschärft durch physiologische Insulinresistenz den Verlauf statt ihn zu verbessern. Metabolische Memoria führt zu potenziell irreversibler Schädigung in kritischer Entwicklungsphase.</w:t>
      </w:r>
    </w:p>
    <w:p>
      <w:r>
        <w:rPr>
          <w:b/>
          <w:sz w:val="19"/>
        </w:rPr>
        <w:t xml:space="preserve">Übertragbarkeit: </w:t>
      </w:r>
      <w:r>
        <w:rPr>
          <w:sz w:val="19"/>
        </w:rPr>
        <w:t>USA-Übersicht, aber Biologie des metabolischen Gedächtnisses unabhängig von System</w:t>
      </w:r>
    </w:p>
    <w:p>
      <w:r>
        <w:rPr>
          <w:color w:val="5A7D3A"/>
          <w:sz w:val="18"/>
        </w:rPr>
        <w:t>https://pubmed.ncbi.nlm.nih.gov/42757297/</w:t>
      </w:r>
    </w:p>
    <w:p>
      <w:pPr>
        <w:pStyle w:val="Heading2"/>
      </w:pPr>
      <w:r>
        <w:t>Ständige Erreichbarkeit in der Arbeit erhöht Übergewichtsrisiko bei chinesischen Arbeitnehmern um 1,9 %</w:t>
      </w:r>
    </w:p>
    <w:p>
      <w:r>
        <w:rPr>
          <w:i/>
          <w:color w:val="666666"/>
          <w:sz w:val="18"/>
        </w:rPr>
        <w:t>Wang H et al.  ·  Front Public Health  ·  03.09.2026  ·  PMID 42756165</w:t>
      </w:r>
    </w:p>
    <w:p>
      <w:r>
        <w:t>Analyse von 16.969 Beobachtungen aus China Family Panel Studies zur Assoziation zwischen Anforderung ständiger beruflicher Verfügbarkeit (WREA) und Übergewicht/Adipositas mit Subgruppenanalysen.</w:t>
      </w:r>
    </w:p>
    <w:p>
      <w:r>
        <w:rPr>
          <w:b/>
        </w:rPr>
        <w:t xml:space="preserve">Ergebnis: </w:t>
      </w:r>
      <w:r>
        <w:t>WREA war mit erhöhter Prävalenz von Übergewicht (durchschnittlicher marginaler Effekt 0,019, 95%-KI 0,011–0,028) und Adipositas (AME 0,012, 95%-KI 0,007–0,019) assoziiert. Effekte stärker bei Männern, mittlerer Bildung und Alter 30–50 Jahre. Effekte variierten nach WREA-Typ (vertragsbasiert, digital aktiviert). Längsanalyse lieferte keine Evidenz für prospektive Assoziation. 53,29 % Arbeiter exponiert.</w:t>
      </w:r>
    </w:p>
    <w:p>
      <w:r>
        <w:rPr>
          <w:b/>
          <w:sz w:val="19"/>
        </w:rPr>
        <w:t xml:space="preserve">Übertragbarkeit: </w:t>
      </w:r>
      <w:r>
        <w:rPr>
          <w:sz w:val="19"/>
        </w:rPr>
        <w:t>China, aber Arbeitsstress-Adipositas-Assoziation generisch, Modell replizierbar</w:t>
      </w:r>
    </w:p>
    <w:p>
      <w:r>
        <w:rPr>
          <w:color w:val="5A7D3A"/>
          <w:sz w:val="18"/>
        </w:rPr>
        <w:t>https://pubmed.ncbi.nlm.nih.gov/42756165/</w:t>
      </w:r>
    </w:p>
    <w:p>
      <w:pPr>
        <w:pStyle w:val="Heading2"/>
      </w:pPr>
      <w:r>
        <w:t>Gewichtszentrisch vs. nicht-gewichtszentrisch: Adipositasbehandlung in Kindermedizin darf nicht stigmatisierend wirken</w:t>
      </w:r>
    </w:p>
    <w:p>
      <w:r>
        <w:rPr>
          <w:i/>
          <w:color w:val="666666"/>
          <w:sz w:val="18"/>
        </w:rPr>
        <w:t>Asso Ministral L et al.  ·  Rev Esp Salud Publica  ·  11.09.2026  ·  PMID 42752590</w:t>
      </w:r>
    </w:p>
    <w:p>
      <w:r>
        <w:t>Katalanische Public-Health-Stellungnahme, dass systematische Gewichtsmessung bei Kindern Selbstwertgefühl schadet und soziale Determinanten ignoriert – Aufruf zu nicht-stigmatisierendem Ansatz, der Wohlbefinden, Bewegung und Lebensbedingungen statt BMI-Reduktion in Mittelpunkt stellt.</w:t>
      </w:r>
    </w:p>
    <w:p>
      <w:r>
        <w:rPr>
          <w:b/>
        </w:rPr>
        <w:t xml:space="preserve">Ergebnis: </w:t>
      </w:r>
      <w:r>
        <w:t>Evidenzbasierte Kritik am Gewichtszentrismen: Diese Herangehensweise ignoriert genetische und soziale Determinanten, schafft Scham und Vermeidungsverhalten bei Kindern, verschlechtert emotionales Wohlbefinden. Empfehlung: Gewichtsmessungen nur begründet, mit Einwilligung, ohne Kommentare zur Entwicklung; Fokus statt auf Lebensbedingungen (Lebensmittelumgebung, Aktivitätszugang, Mittagsverpflegung, finanzielle Barrieren).</w:t>
      </w:r>
    </w:p>
    <w:p>
      <w:r>
        <w:rPr>
          <w:b/>
          <w:sz w:val="19"/>
        </w:rPr>
        <w:t xml:space="preserve">Übertragbarkeit: </w:t>
      </w:r>
      <w:r>
        <w:rPr>
          <w:sz w:val="19"/>
        </w:rPr>
        <w:t>Spanien/Katalonien, europäisches Gesundheitssystem mit vergleichbaren pädiatrischen Strukturen</w:t>
      </w:r>
    </w:p>
    <w:p>
      <w:r>
        <w:rPr>
          <w:color w:val="5A7D3A"/>
          <w:sz w:val="18"/>
        </w:rPr>
        <w:t>https://pubmed.ncbi.nlm.nih.gov/42752590/</w:t>
      </w:r>
    </w:p>
    <w:p>
      <w:pPr>
        <w:pStyle w:val="Heading2"/>
      </w:pPr>
      <w:r>
        <w:t>GLP-1-Rezeptoragonisten senken Nierencompliance-Risiko unterschiedlich nach Prognose</w:t>
      </w:r>
    </w:p>
    <w:p>
      <w:r>
        <w:rPr>
          <w:i/>
          <w:color w:val="666666"/>
          <w:sz w:val="18"/>
        </w:rPr>
        <w:t>Xu Y et al.  ·  Kidney Int  ·  24.07.2026  ·  PMID 42498061</w:t>
      </w:r>
    </w:p>
    <w:p>
      <w:r>
        <w:t>Heterogenitätsanalyse an 28.747 Diabetespatienten in Stockholm zur Frage, welche Patienten von GLP-1-Agonisten bei der Nierenprotektion profitieren – im Unterschied zu durchschnittlichen Zulassungsstudien.</w:t>
      </w:r>
    </w:p>
    <w:p>
      <w:r>
        <w:rPr>
          <w:b/>
        </w:rPr>
        <w:t xml:space="preserve">Ergebnis: </w:t>
      </w:r>
      <w:r>
        <w:t>GLP-1RA senkte Fünf-Jahres-Nierenenergierisiko durchschnittlich um 0,72 % absolut (HR 0,84, 95%-KI 0,72–0,97); Effekt war aber hochgradig heterogen: Patienten in höchstem Quartil des KFRE-Risikos erlebten 2,76 % absoluten Risikoreduktion (HR 0,70), während die niedrigsten Risikogruppen keinen Nutzen zeigten. Prädiktoren für Vorteil: niedriges eGFR, schneller vorheriger eGFR-Abfall, Albuminurie, höheres HbA1c.</w:t>
      </w:r>
    </w:p>
    <w:p>
      <w:r>
        <w:rPr>
          <w:b/>
          <w:sz w:val="19"/>
        </w:rPr>
        <w:t xml:space="preserve">Übertragbarkeit: </w:t>
      </w:r>
      <w:r>
        <w:rPr>
          <w:sz w:val="19"/>
        </w:rPr>
        <w:t>Schweden, vergleichbares Versicherungssystem, aber Kostenübernahme GLP-1 dort anderes als Deutschland</w:t>
      </w:r>
    </w:p>
    <w:p>
      <w:r>
        <w:rPr>
          <w:color w:val="5A7D3A"/>
          <w:sz w:val="18"/>
        </w:rPr>
        <w:t>https://pubmed.ncbi.nlm.nih.gov/42498061/</w:t>
      </w:r>
    </w:p>
    <w:p>
      <w:pPr>
        <w:pStyle w:val="Heading2"/>
      </w:pPr>
      <w:r>
        <w:t>Metabolisches Syndrom erhöht Magenkrebsrisiko progressiv – Bauchumfang ist stärkster Komponenten-Marker</w:t>
      </w:r>
    </w:p>
    <w:p>
      <w:r>
        <w:rPr>
          <w:i/>
          <w:color w:val="666666"/>
          <w:sz w:val="18"/>
        </w:rPr>
        <w:t>Wang GQ et al.  ·  Cancer Res Commun  ·  01.08.2026  ·  PMID 42490138</w:t>
      </w:r>
    </w:p>
    <w:p>
      <w:r>
        <w:t>Prospektive Kohortenanalyse von 471.540 UK-Biobank-Teilnehmern zum Zusammenhang zwischen MetS und inzidentem Magenkrebs über 6,5 Jahre mit Subgruppenanalysen nach Sublokalisation.</w:t>
      </w:r>
    </w:p>
    <w:p>
      <w:r>
        <w:rPr>
          <w:b/>
        </w:rPr>
        <w:t xml:space="preserve">Ergebnis: </w:t>
      </w:r>
      <w:r>
        <w:t>Metabolisches Syndrom war mit erhöhtem Magenkrebsrisiko assoziiert (HR 1,36, 95%-KI 1,08–1,71). Risiko stieg mit Anzahl der MetS-Komponenten (p für Trend = 0,033). Für kardiales Magenkarzinom stärker (HR 1,48, 95%-KI 1,03–2,11) als für nicht-kardiales (HR 1,28, 95%-KI 0,95–1,73, Heterogenität p = 0,547). Bauchumfang zeigte konsistentest Komponenten-Signal. 332 Fälle über 6,5 Jahre in großer prospektiver Kohorte.</w:t>
      </w:r>
    </w:p>
    <w:p>
      <w:r>
        <w:rPr>
          <w:b/>
          <w:sz w:val="19"/>
        </w:rPr>
        <w:t xml:space="preserve">Übertragbarkeit: </w:t>
      </w:r>
      <w:r>
        <w:rPr>
          <w:sz w:val="19"/>
        </w:rPr>
        <w:t>UK Biobank, aber Befund zur metabolischen Dysfunktion unabhängig von System übertragbar</w:t>
      </w:r>
    </w:p>
    <w:p>
      <w:r>
        <w:rPr>
          <w:color w:val="5A7D3A"/>
          <w:sz w:val="18"/>
        </w:rPr>
        <w:t>https://pubmed.ncbi.nlm.nih.gov/42490138/</w:t>
      </w:r>
    </w:p>
    <w:p>
      <w:pPr>
        <w:pStyle w:val="Heading1"/>
      </w:pPr>
      <w:r>
        <w:t>Aufgenommen am 19.09.2026</w:t>
      </w:r>
    </w:p>
    <w:p>
      <w:pPr>
        <w:pStyle w:val="Heading2"/>
      </w:pPr>
      <w:r>
        <w:t>Ernährungs- und Reproduktionsfolgefragen nach Adipositastherapie: prospektive Kohortenstudie</w:t>
      </w:r>
    </w:p>
    <w:p>
      <w:r>
        <w:rPr>
          <w:i/>
          <w:color w:val="666666"/>
          <w:sz w:val="18"/>
        </w:rPr>
        <w:t>Schipper RM et al.  ·  BMJ Open  ·  18.09.2026  ·  PMID 42760085</w:t>
      </w:r>
    </w:p>
    <w:p>
      <w:r>
        <w:t>Prospektive Multizenterstudie zu Nährstoffstatus, Ernährung und Gesundheitsfolgen bei mindestens 1.150 Frauen unter chirurgischer oder medikamentöser Adipositastherapie über zehn Jahre, einschließlich integrierter Schwangerschafts- und Geburtenkohort.</w:t>
      </w:r>
    </w:p>
    <w:p>
      <w:r>
        <w:rPr>
          <w:b/>
        </w:rPr>
        <w:t xml:space="preserve">Ergebnis: </w:t>
      </w:r>
      <w:r>
        <w:t>Studie verfolgt präbehandlung, 3 Monate, 6 Monate und jährlich bis 10 Jahre nach Therapie. Erfasst muskuloskelettale, reproduktive, endokrine, gastrointestinale und mentale Gesundheit sowie Nährstoffstatus, Ernährung, fetale Entwicklung und Muttermilchzusammensetzung. Keine Ergebnisse verfügbar (Studienprotokoll).</w:t>
      </w:r>
    </w:p>
    <w:p>
      <w:r>
        <w:rPr>
          <w:b/>
          <w:sz w:val="19"/>
        </w:rPr>
        <w:t xml:space="preserve">Übertragbarkeit: </w:t>
      </w:r>
      <w:r>
        <w:rPr>
          <w:sz w:val="19"/>
        </w:rPr>
        <w:t>Niederlande, strukturierte Langzeitverfolgung wie in europäischen Registern.</w:t>
      </w:r>
    </w:p>
    <w:p>
      <w:r>
        <w:rPr>
          <w:color w:val="5A7D3A"/>
          <w:sz w:val="18"/>
        </w:rPr>
        <w:t>https://pubmed.ncbi.nlm.nih.gov/42760085/</w:t>
      </w:r>
    </w:p>
    <w:p>
      <w:pPr>
        <w:pStyle w:val="Heading2"/>
      </w:pPr>
      <w:r>
        <w:t>Semaglutid bei Prader-Willi-Syndrom: Gewichtsstabilisierung und Hyperphagiereduktion über 17 Monate</w:t>
      </w:r>
    </w:p>
    <w:p>
      <w:r>
        <w:rPr>
          <w:i/>
          <w:color w:val="666666"/>
          <w:sz w:val="18"/>
        </w:rPr>
        <w:t>Ahmed S et al.  ·  Front Endocrinol (Lausanne)  ·  03.09.2026  ·  PMID 42755517</w:t>
      </w:r>
    </w:p>
    <w:p>
      <w:r>
        <w:t>Retrospektive offene Beobachtungskohort von 12 Erwachsenen mit PWS und Übergewicht/Adipositas unter Semaglutid-Behandlung (Median 17,2 Monate, Dosis bis 2,4 mg wöchentlich).</w:t>
      </w:r>
    </w:p>
    <w:p>
      <w:r>
        <w:rPr>
          <w:b/>
        </w:rPr>
        <w:t xml:space="preserve">Ergebnis: </w:t>
      </w:r>
      <w:r>
        <w:t>Kein signifikanter Gesamtgewichtsverlust, aber Stabilisierung: Post –3,1±9,9% versus Pre +5,7±5,6% (d=–0,72, p=0,037). Hyperphagia-Fragebogen sank um 7,3±6,1 (n=11, d=–1,19, p=0,003). HbA1c verbessert in erhöhten Baseline-Fällen (n=6, –4,2±4,9%, p=0,13). Gastrointestinale Nebenwirkungen bei 25%, ohne Abbruch. 75% mit T2DM.</w:t>
      </w:r>
    </w:p>
    <w:p>
      <w:r>
        <w:rPr>
          <w:b/>
          <w:sz w:val="19"/>
        </w:rPr>
        <w:t xml:space="preserve">Übertragbarkeit: </w:t>
      </w:r>
      <w:r>
        <w:rPr>
          <w:sz w:val="19"/>
        </w:rPr>
        <w:t>UK-Klinik; PWS ist seltene Erkrankung, Ergebnis aber auf Hyperphagia-Kontrolle fokussiert.</w:t>
      </w:r>
    </w:p>
    <w:p>
      <w:r>
        <w:rPr>
          <w:color w:val="5A7D3A"/>
          <w:sz w:val="18"/>
        </w:rPr>
        <w:t>https://pubmed.ncbi.nlm.nih.gov/42755517/</w:t>
      </w:r>
    </w:p>
    <w:p>
      <w:pPr>
        <w:pStyle w:val="Heading2"/>
      </w:pPr>
      <w:r>
        <w:t>COVID-19-Pandemie erhöhte Übergewicht bei chinesischen Jugendlichen um 1,28-fach, normalisierte Kontrollphase reversibelnd</w:t>
      </w:r>
    </w:p>
    <w:p>
      <w:r>
        <w:rPr>
          <w:i/>
          <w:color w:val="666666"/>
          <w:sz w:val="18"/>
        </w:rPr>
        <w:t>Maitituersun Y et al.  ·  BMC Pediatr  ·  07.09.2026  ·  PMID 42754879</w:t>
      </w:r>
    </w:p>
    <w:p>
      <w:r>
        <w:t>Längsschnittstudie über fünf Jahre (2017–2021) mit 120.459 chinesischen Jugendlichen (13–18 Jahre) zu BMI-Änderungen während COVID-19-Pandemie und deren Normalisierungsphase.</w:t>
      </w:r>
    </w:p>
    <w:p>
      <w:r>
        <w:rPr>
          <w:b/>
        </w:rPr>
        <w:t xml:space="preserve">Ergebnis: </w:t>
      </w:r>
      <w:r>
        <w:t>2020: BMI +0,2 kg/m² versus Vorjahre, 2021 rückläufig. 2020: Übergewicht OR=1,280 (95% KI 1,199–1,366), Übergewicht+Adipositas OR=1,364 (95% KI 1,286–1,448) versus 2017. 2021: Adipositas-Risiko sank auf OR=1,201 (95% KI 1,131–1,275). Mädchen stärker betroffen als Jungen. Untergwicht 2020 reduziert (OR=0,668), 2021 erholt (OR=0,917).</w:t>
      </w:r>
    </w:p>
    <w:p>
      <w:r>
        <w:rPr>
          <w:b/>
          <w:sz w:val="19"/>
        </w:rPr>
        <w:t xml:space="preserve">Übertragbarkeit: </w:t>
      </w:r>
      <w:r>
        <w:rPr>
          <w:sz w:val="19"/>
        </w:rPr>
        <w:t>China-Daten; zeigt populationsweite Reaktion auf Lockdown und Erholung—strukturelle Faktoren in Deutschland zu prüfen.</w:t>
      </w:r>
    </w:p>
    <w:p>
      <w:r>
        <w:rPr>
          <w:color w:val="5A7D3A"/>
          <w:sz w:val="18"/>
        </w:rPr>
        <w:t>https://pubmed.ncbi.nlm.nih.gov/42754879/</w:t>
      </w:r>
    </w:p>
    <w:p>
      <w:pPr>
        <w:pStyle w:val="Heading2"/>
      </w:pPr>
      <w:r>
        <w:t>Adipositas, nicht Hyperandrogenismus, treibt Stoffwechselstörung bei PCOS: Glukose-Insulin-Dynamik bei 71 Frauen</w:t>
      </w:r>
    </w:p>
    <w:p>
      <w:r>
        <w:rPr>
          <w:i/>
          <w:color w:val="666666"/>
          <w:sz w:val="18"/>
        </w:rPr>
        <w:t>Naderi P et al.  ·  Front Endocrinol (Lausanne)  ·  31.08.2026  ·  PMID 42741014</w:t>
      </w:r>
    </w:p>
    <w:p>
      <w:r>
        <w:t>Retrospektive Querschnittstudie zu Glukose-Insulin-Dynamik bei 71 PCOS-Frauen, stratifiziert nach BMI-Status (&lt;30, n=37 vs. ≥30, n=34) mit 3-Stunden-OGTT.</w:t>
      </w:r>
    </w:p>
    <w:p>
      <w:r>
        <w:rPr>
          <w:b/>
        </w:rPr>
        <w:t xml:space="preserve">Ergebnis: </w:t>
      </w:r>
      <w:r>
        <w:t>Adipöse Frauen älter, höhere Nüchternglukose, HbA1c nur numerisch höher. OGTT zeigte höhere Glukose/Insulin-Konzentrationen, niedrigere Insulinsensitivität (Matsuda-Index), höhere Insulinresistenz (HOMA-IR) und größere Glukoseexposition. PCOM, Rotterdam-Phänotyp, Androgene vergleichbar. BMI einziger konsistenter unabhängiger Prädiktor aller Stoffwechselparameter (p&lt;0,05).</w:t>
      </w:r>
    </w:p>
    <w:p>
      <w:r>
        <w:rPr>
          <w:b/>
          <w:sz w:val="19"/>
        </w:rPr>
        <w:t xml:space="preserve">Übertragbarkeit: </w:t>
      </w:r>
      <w:r>
        <w:rPr>
          <w:sz w:val="19"/>
        </w:rPr>
        <w:t>Deutschland, deutsches Zentrum; zeigt Äquivalenz von BMI-zentrierter Risikostratifikation bei PCOS.</w:t>
      </w:r>
    </w:p>
    <w:p>
      <w:r>
        <w:rPr>
          <w:color w:val="5A7D3A"/>
          <w:sz w:val="18"/>
        </w:rPr>
        <w:t>https://pubmed.ncbi.nlm.nih.gov/42741014/</w:t>
      </w:r>
    </w:p>
    <w:p>
      <w:pPr>
        <w:pStyle w:val="Heading2"/>
      </w:pPr>
      <w:r>
        <w:t>Mikroernährungsstatus bei schwerer Adipositas: Vitamin- und Mineralienverarmung über das Gewichtsspektrum</w:t>
      </w:r>
    </w:p>
    <w:p>
      <w:r>
        <w:rPr>
          <w:i/>
          <w:color w:val="666666"/>
          <w:sz w:val="18"/>
        </w:rPr>
        <w:t>Sabados H et al.  ·  Nutrients  ·  07.09.2026  ·  PMID 42739110</w:t>
      </w:r>
    </w:p>
    <w:p>
      <w:r>
        <w:t>Retrospektive Einzelzentrum-Kohortenstudie mit 247 Erwachsenen (BMI 30–91 kg/m², Mittel 48,7±8,7) zur Erfassung von Vitamin-B- und Mineralstoffkonzentrationen vor bariatrischer Chirurgie.</w:t>
      </w:r>
    </w:p>
    <w:p>
      <w:r>
        <w:rPr>
          <w:b/>
        </w:rPr>
        <w:t xml:space="preserve">Ergebnis: </w:t>
      </w:r>
      <w:r>
        <w:t>Vitamin D, Folat und Vitamin B6 sanken progressiv mit zunehmend BMI. Vitamin D korrelierte invers mit HbA1c. HbA1c, Leberenzyme (ALAT, γ-GT) und Körperzusammensetzung (Taillenumfang, Viszeralfett) waren stärkste Diskriminatoren für T2DM, Steatose und hohes BMI. MASLD+T2DM zeigte stärkste B6-Verarmung; Vitamin D niedrig in allen Subgruppen.</w:t>
      </w:r>
    </w:p>
    <w:p>
      <w:r>
        <w:rPr>
          <w:b/>
          <w:sz w:val="19"/>
        </w:rPr>
        <w:t xml:space="preserve">Übertragbarkeit: </w:t>
      </w:r>
      <w:r>
        <w:rPr>
          <w:sz w:val="19"/>
        </w:rPr>
        <w:t>Deutschland, Saarländische Klinik; Mikroernährungsdaten vor geplanter Chirurgie übertragbar.</w:t>
      </w:r>
    </w:p>
    <w:p>
      <w:r>
        <w:rPr>
          <w:color w:val="5A7D3A"/>
          <w:sz w:val="18"/>
        </w:rPr>
        <w:t>https://pubmed.ncbi.nlm.nih.gov/42739110/</w:t>
      </w:r>
    </w:p>
    <w:p>
      <w:pPr>
        <w:pStyle w:val="Heading2"/>
      </w:pPr>
      <w:r>
        <w:t>Lebensverlauf-Adipositas und Osteoporoserisiko: 357.903 UK-Biobank-Teilnehmer über 15,7 Jahre</w:t>
      </w:r>
    </w:p>
    <w:p>
      <w:r>
        <w:rPr>
          <w:i/>
          <w:color w:val="666666"/>
          <w:sz w:val="18"/>
        </w:rPr>
        <w:t>Liu H et al.  ·  Front Endocrinol (Lausanne)  ·  28.08.2026  ·  PMID 42729203</w:t>
      </w:r>
    </w:p>
    <w:p>
      <w:r>
        <w:t>Prospektive Kohortenstudie zu Assoziation zwischen Geburtsmasse, Kindheitsgewicht und Erwachsenen-BMI mit Osteoporoserisiko im UK Biobank über Median 15,7 Jahre.</w:t>
      </w:r>
    </w:p>
    <w:p>
      <w:r>
        <w:rPr>
          <w:b/>
        </w:rPr>
        <w:t xml:space="preserve">Ergebnis: </w:t>
      </w:r>
      <w:r>
        <w:t>11.905 Osteoporosefälle (3,3%, 82% Frauen). Niedriges Geburtsgewicht, dünnere Kindheit und niedriger Erwachsenen-BMI erhöht Osteoporoserisiko: Untergewicht HR=2,41; Übergewicht HR=0,63; Adipositas HR=0,50. Adult BMI stärkster unabhängiger Effekt. Mediation: Adult BMI erklärt 67,1% der Geburt- und 56,1% der Kindheitseffekte. Proteomik identifizierte 95 Mediatoren (ADIPOQ 25,6%, SOST 16,7%).</w:t>
      </w:r>
    </w:p>
    <w:p>
      <w:r>
        <w:rPr>
          <w:b/>
          <w:sz w:val="19"/>
        </w:rPr>
        <w:t xml:space="preserve">Übertragbarkeit: </w:t>
      </w:r>
      <w:r>
        <w:rPr>
          <w:sz w:val="19"/>
        </w:rPr>
        <w:t>UK-Daten, Langzeitverlauf und Risikostratifizierung vergleichbar mit europäischen Kohorten.</w:t>
      </w:r>
    </w:p>
    <w:p>
      <w:r>
        <w:rPr>
          <w:color w:val="5A7D3A"/>
          <w:sz w:val="18"/>
        </w:rPr>
        <w:t>https://pubmed.ncbi.nlm.nih.gov/42729203/</w:t>
      </w:r>
    </w:p>
    <w:p>
      <w:pPr>
        <w:pStyle w:val="Heading1"/>
      </w:pPr>
      <w:r>
        <w:t>Aufgenommen am 18.09.2026</w:t>
      </w:r>
    </w:p>
    <w:p>
      <w:pPr>
        <w:pStyle w:val="Heading2"/>
      </w:pPr>
      <w:r>
        <w:t>Obesitäts-Hypoventilationssyndrom auf Intensivstation: 3 % der adipösen Patienten nicht erkannt</w:t>
      </w:r>
    </w:p>
    <w:p>
      <w:r>
        <w:rPr>
          <w:i/>
          <w:color w:val="666666"/>
          <w:sz w:val="18"/>
        </w:rPr>
        <w:t>Lee KJ et al.  ·  Korean J Intern Med  ·  01.09.2026  ·  PMID 42754525</w:t>
      </w:r>
    </w:p>
    <w:p>
      <w:r>
        <w:t>Retrospektive Kohortenstudie bei 3.660 MICU-Patienten (531 adipös, BMI≥27) in Seoul (2016–2023) zum Anteil und Erkennungsrate des wahrscheinlichen Obesitäts-Hypoventilationssyndroms.</w:t>
      </w:r>
    </w:p>
    <w:p>
      <w:r>
        <w:rPr>
          <w:b/>
        </w:rPr>
        <w:t xml:space="preserve">Ergebnis: </w:t>
      </w:r>
      <w:r>
        <w:t>Wahrscheinliches OHS in 0,4 % aller MICU-Patienten (3,0 % adipös, 6,5 % bei BMI≥30). Längere Krankenhausverweildauer trotz niedrigerer Aufnahmeschwere. Mortalität nach IPTW-Anpassung nicht signifikant unterschiedlich. Unterdiagnose zeigt Erkennungslücke.</w:t>
      </w:r>
    </w:p>
    <w:p>
      <w:r>
        <w:rPr>
          <w:b/>
          <w:sz w:val="19"/>
        </w:rPr>
        <w:t xml:space="preserve">Übertragbarkeit: </w:t>
      </w:r>
      <w:r>
        <w:rPr>
          <w:sz w:val="19"/>
        </w:rPr>
        <w:t>Südkorea, Universitätsklinikum; kritische Pflege, vergleichbare diagnostische Standards</w:t>
      </w:r>
    </w:p>
    <w:p>
      <w:r>
        <w:rPr>
          <w:color w:val="5A7D3A"/>
          <w:sz w:val="18"/>
        </w:rPr>
        <w:t>https://pubmed.ncbi.nlm.nih.gov/42754525/</w:t>
      </w:r>
    </w:p>
    <w:p>
      <w:pPr>
        <w:pStyle w:val="Heading2"/>
      </w:pPr>
      <w:r>
        <w:t>Semaglutid bei antipsychotika-assoziierter Adipositas in Jugendlichen: Machbarkeitsstudie</w:t>
      </w:r>
    </w:p>
    <w:p>
      <w:r>
        <w:rPr>
          <w:i/>
          <w:color w:val="666666"/>
          <w:sz w:val="18"/>
        </w:rPr>
        <w:t>Giraldi LV et al.  ·  BMJ Open  ·  17.09.2026  ·  PMID 42754274</w:t>
      </w:r>
    </w:p>
    <w:p>
      <w:r>
        <w:t>Open-label Machbarkeitsstudie an 34 Jugendlichen (12–18 Jahre) mit antipsychotika-bedingter Adipositas in Kopenhagen (36 Wochen Semaglutid bis 2,4 mg/Woche plus Standardversorgung).</w:t>
      </w:r>
    </w:p>
    <w:p>
      <w:r>
        <w:rPr>
          <w:b/>
        </w:rPr>
        <w:t xml:space="preserve">Ergebnis: </w:t>
      </w:r>
      <w:r>
        <w:t>Primäre Zielgröße: Komplettierungsrate der Studie. Sekundär: BMI-SD-Score, Körperzusammensetzung, metabolische und psychiatrische Parameter. Ergebnisse nicht im Abstract genannt, da Machbarkeitsstudie mit anschließender Observationsphase (18 Monate).</w:t>
      </w:r>
    </w:p>
    <w:p>
      <w:r>
        <w:rPr>
          <w:b/>
          <w:sz w:val="19"/>
        </w:rPr>
        <w:t xml:space="preserve">Übertragbarkeit: </w:t>
      </w:r>
      <w:r>
        <w:rPr>
          <w:sz w:val="19"/>
        </w:rPr>
        <w:t>Dänemark, vergleichbare Sozialversicherung; GLP-1RA als Adipositas-Arzneimittel unter §34 SGB V nicht erstattet</w:t>
      </w:r>
    </w:p>
    <w:p>
      <w:r>
        <w:rPr>
          <w:color w:val="5A7D3A"/>
          <w:sz w:val="18"/>
        </w:rPr>
        <w:t>https://pubmed.ncbi.nlm.nih.gov/42754274/</w:t>
      </w:r>
    </w:p>
    <w:p>
      <w:pPr>
        <w:pStyle w:val="Heading2"/>
      </w:pPr>
      <w:r>
        <w:t>Bluttesttrends besser als Einzelwert zur Krebserkennung bei unerwartetem Gewichtsverlust</w:t>
      </w:r>
    </w:p>
    <w:p>
      <w:r>
        <w:rPr>
          <w:i/>
          <w:color w:val="666666"/>
          <w:sz w:val="18"/>
        </w:rPr>
        <w:t>Nicholson BD et al.  ·  PLoS Med  ·  17.09.2026  ·  PMID 42752402</w:t>
      </w:r>
    </w:p>
    <w:p>
      <w:r>
        <w:t>Retrospektive Kohortenstudie an 275.205 Patienten mit unerwartetem Gewichtsverlust in englischer Primärversorgung (2000–2018) zum Vergleich des Diskriminationsvermögens von Bluttesttrends vs. Einzelwert-Abnormitäten für Krebsdiagnose.</w:t>
      </w:r>
    </w:p>
    <w:p>
      <w:r>
        <w:rPr>
          <w:b/>
        </w:rPr>
        <w:t xml:space="preserve">Ergebnis: </w:t>
      </w:r>
      <w:r>
        <w:t>Unter 13.798 Krebsfällen (5,0 %): Bluttesttrends nach Alters- und Geschlechtsanpassung stärker diskriminativ als Einzelwerte (höchste AUC 0,82 [0,81–0,83]). 26 Trends für Gesamtkrebs, mittleres Zellvolumen für Darm/Lymphom, WBC/Neutrophile für Lungenkrebs, multiple Parameter für Prostatakarzinom bessere Vorhersage.</w:t>
      </w:r>
    </w:p>
    <w:p>
      <w:r>
        <w:rPr>
          <w:b/>
          <w:sz w:val="19"/>
        </w:rPr>
        <w:t xml:space="preserve">Übertragbarkeit: </w:t>
      </w:r>
      <w:r>
        <w:rPr>
          <w:sz w:val="19"/>
        </w:rPr>
        <w:t>Englische Primärversorgung, Clinical Practice Research Datalink; System vergleichbar mit deutschen Hausarztdaten</w:t>
      </w:r>
    </w:p>
    <w:p>
      <w:r>
        <w:rPr>
          <w:color w:val="5A7D3A"/>
          <w:sz w:val="18"/>
        </w:rPr>
        <w:t>https://pubmed.ncbi.nlm.nih.gov/42752402/</w:t>
      </w:r>
    </w:p>
    <w:p>
      <w:pPr>
        <w:pStyle w:val="Heading2"/>
      </w:pPr>
      <w:r>
        <w:t>Vascular Alter als Prädiktor für metabolisches Syndrom bei spanischen Berufstätigen</w:t>
      </w:r>
    </w:p>
    <w:p>
      <w:r>
        <w:rPr>
          <w:i/>
          <w:color w:val="666666"/>
          <w:sz w:val="18"/>
        </w:rPr>
        <w:t>Montero Muñoz N et al.  ·  Endocrinol Diabetes Nutr (Engl Ed)  ·  Aug. 2026  ·  PMID 42744528</w:t>
      </w:r>
    </w:p>
    <w:p>
      <w:r>
        <w:t>Querschnittsstudie an 336.450 erwerbstätigen Spaniern (2018–2022) zur Vorhersagekraft des geschätzten vaskulären Alters nach dem Framingham-Modell für die Früherkennung metabolischer Störungen.</w:t>
      </w:r>
    </w:p>
    <w:p>
      <w:r>
        <w:rPr>
          <w:b/>
        </w:rPr>
        <w:t xml:space="preserve">Ergebnis: </w:t>
      </w:r>
      <w:r>
        <w:t>Metabolisches Syndrom stieg progressiv mit höherem vaskulären Alter; Fläche unter der Kurve &gt;0,80 (Frauen bis 0,86). Vaskuläres Alter ist ein starker unabhängiger Prädiktor für metabolische Risiken und praktisch in Arbeitsschutzprogrammen einsetzbar.</w:t>
      </w:r>
    </w:p>
    <w:p>
      <w:r>
        <w:rPr>
          <w:b/>
          <w:sz w:val="19"/>
        </w:rPr>
        <w:t xml:space="preserve">Übertragbarkeit: </w:t>
      </w:r>
      <w:r>
        <w:rPr>
          <w:sz w:val="19"/>
        </w:rPr>
        <w:t>Spanischer Arbeitsmedizin-Kontext, vergleichbares Sozialversicherungssystem wie Deutschland</w:t>
      </w:r>
    </w:p>
    <w:p>
      <w:r>
        <w:rPr>
          <w:color w:val="5A7D3A"/>
          <w:sz w:val="18"/>
        </w:rPr>
        <w:t>https://pubmed.ncbi.nlm.nih.gov/42744528/</w:t>
      </w:r>
    </w:p>
    <w:p>
      <w:pPr>
        <w:pStyle w:val="Heading2"/>
      </w:pPr>
      <w:r>
        <w:t>Adipositaschirurgie bei Typ-1-Diabetes: Gewichtsverlust erreicht, Glykämie unverändert</w:t>
      </w:r>
    </w:p>
    <w:p>
      <w:r>
        <w:rPr>
          <w:i/>
          <w:color w:val="666666"/>
          <w:sz w:val="18"/>
        </w:rPr>
        <w:t>Mottalib A et al.  ·  Surg Obes Relat Dis  ·  14.03.2026  ·  PMID 42742506</w:t>
      </w:r>
    </w:p>
    <w:p>
      <w:r>
        <w:t>Retrospektive matched-cohort-Studie an 20 Patienten mit Typ-1-Diabetes und Adipositas nach bariatrischer Operation vs. 20 Kontrollpersonen in Standardversorgung über 3 Jahre.</w:t>
      </w:r>
    </w:p>
    <w:p>
      <w:r>
        <w:rPr>
          <w:b/>
        </w:rPr>
        <w:t xml:space="preserve">Ergebnis: </w:t>
      </w:r>
      <w:r>
        <w:t>Chirurgie-Gruppe: Gewichtsverlust 33,5±2,6 kg (28,1 %), Kontrollgruppe Gewichtszunahme 2,6±2,8 kg (p&lt;0,0001). HbA1c unverändert in beiden Gruppen. Chirurgie-Gruppe zeigte Reduktion Insulindosis (-), Triglyceride (-), systolischer Blutdruck (-), HDL-Cholesterin (+).</w:t>
      </w:r>
    </w:p>
    <w:p>
      <w:r>
        <w:rPr>
          <w:b/>
          <w:sz w:val="19"/>
        </w:rPr>
        <w:t xml:space="preserve">Übertragbarkeit: </w:t>
      </w:r>
      <w:r>
        <w:rPr>
          <w:sz w:val="19"/>
        </w:rPr>
        <w:t>USA-Klinikdaten, begrenzte Fallzahl (n=20); Adipositaschirurgie-Genehmigung in Deutschland Einzelfallprüfung</w:t>
      </w:r>
    </w:p>
    <w:p>
      <w:r>
        <w:rPr>
          <w:color w:val="5A7D3A"/>
          <w:sz w:val="18"/>
        </w:rPr>
        <w:t>https://pubmed.ncbi.nlm.nih.gov/42742506/</w:t>
      </w:r>
    </w:p>
    <w:p>
      <w:pPr>
        <w:pStyle w:val="Heading2"/>
      </w:pPr>
      <w:r>
        <w:t>SGLT2-Inhibitoren und GLP-1-Agonisten: Gewichtsverlust stärker bei Adipösen, Glykämieverbesserung gleich</w:t>
      </w:r>
    </w:p>
    <w:p>
      <w:r>
        <w:rPr>
          <w:i/>
          <w:color w:val="666666"/>
          <w:sz w:val="18"/>
        </w:rPr>
        <w:t>Almohammed OA et al.  ·  Front Endocrinol (Lausanne)  ·  31.08.2026  ·  PMID 42741141</w:t>
      </w:r>
    </w:p>
    <w:p>
      <w:r>
        <w:t>Multicenter-Beobachtungsstudie an 1.016 Patienten mit Typ-2-Diabetes in Saudi-Arabien zum Vergleich der Gewichts- und Glykämieveränderungen zwischen adipösen (BMI≥30) und nicht-adipösen Personen unter SGLT2i oder GLP-1RA.</w:t>
      </w:r>
    </w:p>
    <w:p>
      <w:r>
        <w:rPr>
          <w:b/>
        </w:rPr>
        <w:t xml:space="preserve">Ergebnis: </w:t>
      </w:r>
      <w:r>
        <w:t>Nach 12 Monaten erreichten adipöse Patienten größere absolute Gewichtsverluste und BMI-Reduktionen (p&lt;0,05). Responderrate ≥5 % Gewichtsverlust bei Adipösen: 27,2 % vs. 15,5 % bei Nicht-Adipösen in Monat 6. HbA1c-Verbesserungen waren zwischen Gruppen vergleichbar.</w:t>
      </w:r>
    </w:p>
    <w:p>
      <w:r>
        <w:rPr>
          <w:b/>
          <w:sz w:val="19"/>
        </w:rPr>
        <w:t xml:space="preserve">Übertragbarkeit: </w:t>
      </w:r>
      <w:r>
        <w:rPr>
          <w:sz w:val="19"/>
        </w:rPr>
        <w:t>Saudi-Arabien, Einzelzentren-Daten; Arzneimittel-Kostenerstattung in Deutschland nicht vergleichbar (§34 SGB V)</w:t>
      </w:r>
    </w:p>
    <w:p>
      <w:r>
        <w:rPr>
          <w:color w:val="5A7D3A"/>
          <w:sz w:val="18"/>
        </w:rPr>
        <w:t>https://pubmed.ncbi.nlm.nih.gov/42741141/</w:t>
      </w:r>
    </w:p>
    <w:p>
      <w:pPr>
        <w:pStyle w:val="Heading1"/>
      </w:pPr>
      <w:r>
        <w:t>Aufgenommen am 17.09.2026</w:t>
      </w:r>
    </w:p>
    <w:p>
      <w:pPr>
        <w:pStyle w:val="Heading2"/>
      </w:pPr>
      <w:r>
        <w:t>Wiederholte Lebensstilintervention: Marginal bessere Gewichtsabnahme in Kontemplationsphase</w:t>
      </w:r>
    </w:p>
    <w:p>
      <w:r>
        <w:rPr>
          <w:i/>
          <w:color w:val="666666"/>
          <w:sz w:val="18"/>
        </w:rPr>
        <w:t>Yoshida H et al.  ·  Environ Health Prev Med  ·  2026  ·  PMID 42749615</w:t>
      </w:r>
    </w:p>
    <w:p>
      <w:r>
        <w:t>Längsbeobachtungsstudie mit modifizierter Poisson-Regression an 2325 japanischen Männern (40–65 Jahre) aus Gesundheits-Screening-System 2018–2020: Vergleich wiederholter vs. einmaliger Spezifischer Gesundheitsberatung (SHG) auf Gewichtsabnahme ≥3%.</w:t>
      </w:r>
    </w:p>
    <w:p>
      <w:r>
        <w:rPr>
          <w:b/>
        </w:rPr>
        <w:t xml:space="preserve">Ergebnis: </w:t>
      </w:r>
      <w:r>
        <w:t>Wiederholte Gruppe (n=952) vs. Einzelintervention (n=1373): 16,0% vs. 13,5% erreichten ≥3% Gewichtsverlust (RR=1,18, 95% KI 0,97–1,44, nicht signifikant). Subgruppenanalyse Kontemplationsphase: 19,7% vs. 13,7% (RR=1,47, 95% KI 1,04–2,08), signifikant. Keine signifikante Gesamtassoziation.</w:t>
      </w:r>
    </w:p>
    <w:p>
      <w:r>
        <w:rPr>
          <w:b/>
          <w:sz w:val="19"/>
        </w:rPr>
        <w:t xml:space="preserve">Übertragbarkeit: </w:t>
      </w:r>
      <w:r>
        <w:rPr>
          <w:sz w:val="19"/>
        </w:rPr>
        <w:t>Japan, nationales Screening-System, zeigt Grenzen wiederholter Routine-Interventionen.</w:t>
      </w:r>
    </w:p>
    <w:p>
      <w:r>
        <w:rPr>
          <w:color w:val="5A7D3A"/>
          <w:sz w:val="18"/>
        </w:rPr>
        <w:t>https://pubmed.ncbi.nlm.nih.gov/42749615/</w:t>
      </w:r>
    </w:p>
    <w:p>
      <w:pPr>
        <w:pStyle w:val="Heading2"/>
      </w:pPr>
      <w:r>
        <w:t>Sozioökonomische Verletzlichkeit treibt Adipositas bei Kindern über Ernährung</w:t>
      </w:r>
    </w:p>
    <w:p>
      <w:r>
        <w:rPr>
          <w:i/>
          <w:color w:val="666666"/>
          <w:sz w:val="18"/>
        </w:rPr>
        <w:t>Mahmood L et al.  ·  Eur J Pediatr  ·  16.09.2026  ·  PMID 42747589</w:t>
      </w:r>
    </w:p>
    <w:p>
      <w:r>
        <w:t>Längsschnittstudie an 1796 Kindern aus 6 europäischen Ländern zum zeitlichen Zusammenhang zwischen sozioökonomischer Verletzlichkeit, Ernährungsqualität und BMI-Veränderung über 2 Jahre.</w:t>
      </w:r>
    </w:p>
    <w:p>
      <w:r>
        <w:rPr>
          <w:b/>
        </w:rPr>
        <w:t xml:space="preserve">Ergebnis: </w:t>
      </w:r>
      <w:r>
        <w:t>Höhere sozioökonomische Verletzlichkeit sagte schlechtere Ernährungsmuster voraus (weniger Fleisch β=–0,100, weniger Obst/Gemüse β=–0,119, mehr salzige Snacks β=0,129, p&lt;0,001). Diese Ernährungsunterschiede trugen zu Übergewichtsrisiko bei. Fleischkonsum moderierte die Vulnerabilität-BMI-Assoziation (p&lt;0,05).</w:t>
      </w:r>
    </w:p>
    <w:p>
      <w:r>
        <w:rPr>
          <w:b/>
          <w:sz w:val="19"/>
        </w:rPr>
        <w:t xml:space="preserve">Übertragbarkeit: </w:t>
      </w:r>
      <w:r>
        <w:rPr>
          <w:sz w:val="19"/>
        </w:rPr>
        <w:t>Europäische Studie, 6 Länder, dokumentiert Ungleichheitsmechanismus.</w:t>
      </w:r>
    </w:p>
    <w:p>
      <w:r>
        <w:rPr>
          <w:color w:val="5A7D3A"/>
          <w:sz w:val="18"/>
        </w:rPr>
        <w:t>https://pubmed.ncbi.nlm.nih.gov/42747589/</w:t>
      </w:r>
    </w:p>
    <w:p>
      <w:pPr>
        <w:pStyle w:val="Heading2"/>
      </w:pPr>
      <w:r>
        <w:t>Probiotika mit Omega-3 senken Inflammationsmarker bei Adipositas am stärksten</w:t>
      </w:r>
    </w:p>
    <w:p>
      <w:r>
        <w:rPr>
          <w:i/>
          <w:color w:val="666666"/>
          <w:sz w:val="18"/>
        </w:rPr>
        <w:t>Chen Z et al.  ·  Nutrients  ·  07.09.2026  ·  PMID 42739108</w:t>
      </w:r>
    </w:p>
    <w:p>
      <w:r>
        <w:t>Systematische Übersicht und Netzwerk-Metaanalyse von 60 RCTs zu 14 Supplementierungsstrategien und Effekten auf Inflammationsmarker bei Übergewicht/Adipositas.</w:t>
      </w:r>
    </w:p>
    <w:p>
      <w:r>
        <w:rPr>
          <w:b/>
        </w:rPr>
        <w:t xml:space="preserve">Ergebnis: </w:t>
      </w:r>
      <w:r>
        <w:t>Grüntee-Extrakt senkte IL-6 (MD=–2,57, 95% KI [–3,99, –1,15]). Synbiotika reduzierten TNF-α stärksten (MD=–12,25, [–16,7, –7,8]). Probiotika+Omega-3, Synbiotika, Zink und Curcumin senkten alle CRP. Synbiotika erhöhten Adiponektin (MD=15,37, [12,13, 18,61]). Kein Supplement senkte Leptin signifikant. Effekte hingen von Alter, Trainings-Co-Intervention und Geschlechtsverteilung ab.</w:t>
      </w:r>
    </w:p>
    <w:p>
      <w:r>
        <w:rPr>
          <w:b/>
          <w:sz w:val="19"/>
        </w:rPr>
        <w:t xml:space="preserve">Übertragbarkeit: </w:t>
      </w:r>
      <w:r>
        <w:rPr>
          <w:sz w:val="19"/>
        </w:rPr>
        <w:t>Globale Evidenz, zeigt mögliche unterstützende Maßnahmen, aber begrenzte individuelle Supplement-Wirkung.</w:t>
      </w:r>
    </w:p>
    <w:p>
      <w:r>
        <w:rPr>
          <w:color w:val="5A7D3A"/>
          <w:sz w:val="18"/>
        </w:rPr>
        <w:t>https://pubmed.ncbi.nlm.nih.gov/42739108/</w:t>
      </w:r>
    </w:p>
    <w:p>
      <w:pPr>
        <w:pStyle w:val="Heading2"/>
      </w:pPr>
      <w:r>
        <w:t>Südkoreas Adipositasgesetze: Mangelnde Finanzinstrumente bei regulatorischem Fokus</w:t>
      </w:r>
    </w:p>
    <w:p>
      <w:r>
        <w:rPr>
          <w:i/>
          <w:color w:val="666666"/>
          <w:sz w:val="18"/>
        </w:rPr>
        <w:t>Lee Y et al.  ·  Nutrients  ·  31.08.2026  ·  PMID 42739020</w:t>
      </w:r>
    </w:p>
    <w:p>
      <w:r>
        <w:t>Retrospektive Politikanalyse von 53 adipositasbezogenen Gesetzesentwürfen in Südkorea 2006–2024; Analyse von legislativen Trends und Einflussfaktoren.</w:t>
      </w:r>
    </w:p>
    <w:p>
      <w:r>
        <w:rPr>
          <w:b/>
        </w:rPr>
        <w:t xml:space="preserve">Ergebnis: </w:t>
      </w:r>
      <w:r>
        <w:t>16 Gesetzesentwürfe (30,2%) wurden verabschiedet oder in Alternativen integriert. Regulatorische Instrumente dominierten, gefolgt von Bildungs- und institutionellen Mitteln; fiskalische Maßnahmen waren selten. Legislative Aktivität clusterte 2013 und 2017–2019. Kindfokus und institutionelle Machbarkeit waren Erfolgsfaktoren, fiskalische und Strukturvorschläge scheiterten häufiger.</w:t>
      </w:r>
    </w:p>
    <w:p>
      <w:r>
        <w:rPr>
          <w:b/>
          <w:sz w:val="19"/>
        </w:rPr>
        <w:t xml:space="preserve">Übertragbarkeit: </w:t>
      </w:r>
      <w:r>
        <w:rPr>
          <w:sz w:val="19"/>
        </w:rPr>
        <w:t>Südkorea, zeigt Lücken in Prävention durch Steuer und Strukturreformen auf.</w:t>
      </w:r>
    </w:p>
    <w:p>
      <w:r>
        <w:rPr>
          <w:color w:val="5A7D3A"/>
          <w:sz w:val="18"/>
        </w:rPr>
        <w:t>https://pubmed.ncbi.nlm.nih.gov/42739020/</w:t>
      </w:r>
    </w:p>
    <w:p>
      <w:pPr>
        <w:pStyle w:val="Heading2"/>
      </w:pPr>
      <w:r>
        <w:t>Proteinreiches Sojagetränk: Langfristiger Nutzen für Körperzusammensetzung bei Frauen</w:t>
      </w:r>
    </w:p>
    <w:p>
      <w:r>
        <w:rPr>
          <w:i/>
          <w:color w:val="666666"/>
          <w:sz w:val="18"/>
        </w:rPr>
        <w:t>Berg A et al.  ·  Nutrients  ·  27.08.2026  ·  PMID 42738981</w:t>
      </w:r>
    </w:p>
    <w:p>
      <w:r>
        <w:t>Sekundäranalyse der multizentrischen ACOORH-RCT: 64 Frauen mit Übergewicht erhielten 26 Wochen lang entweder Lebensstiländerung allein oder kombiniert mit proteinreichem Soja-Joghurt-Honig-Mahlzeitenersatz; Nachverfolgung über 52 Wochen.</w:t>
      </w:r>
    </w:p>
    <w:p>
      <w:r>
        <w:rPr>
          <w:b/>
        </w:rPr>
        <w:t xml:space="preserve">Ergebnis: </w:t>
      </w:r>
      <w:r>
        <w:t>Beide Gruppen reduzierten Energieaufnahme in Woche 12. Interventionsgruppe erhöhte gewichtsadjustierte Proteinaufnahme (+0,22±0,29 g/kg/d; p=0,004) und behielt diese über 52 Wochen (p&lt;0,001). ANCOVA: signifikant bessere Verbesserung BMI (p=0,04) und Fettmasse (p=0,03). Woche 52: höhere Proteinaufnahme assoziiert mit niedrigerem BMI (r=–0,253, p=0,04) und Fettmasse (r=–0,321, p=0,01), höherer Muskelkraft (r=0,292, p=0,02).</w:t>
      </w:r>
    </w:p>
    <w:p>
      <w:r>
        <w:rPr>
          <w:b/>
          <w:sz w:val="19"/>
        </w:rPr>
        <w:t xml:space="preserve">Übertragbarkeit: </w:t>
      </w:r>
      <w:r>
        <w:rPr>
          <w:sz w:val="19"/>
        </w:rPr>
        <w:t>Deutschland, multizentrisch, zeigt anhaltende Verhaltensänderung nach Intervention.</w:t>
      </w:r>
    </w:p>
    <w:p>
      <w:r>
        <w:rPr>
          <w:color w:val="5A7D3A"/>
          <w:sz w:val="18"/>
        </w:rPr>
        <w:t>https://pubmed.ncbi.nlm.nih.gov/42738981/</w:t>
      </w:r>
    </w:p>
    <w:p>
      <w:pPr>
        <w:pStyle w:val="Heading2"/>
      </w:pPr>
      <w:r>
        <w:t>Digitales Adipositasprogramm funktioniert über kulturelle Grenzen: Abu Dhabi und Stockholm</w:t>
      </w:r>
    </w:p>
    <w:p>
      <w:r>
        <w:rPr>
          <w:i/>
          <w:color w:val="666666"/>
          <w:sz w:val="18"/>
        </w:rPr>
        <w:t>Lindberg L et al.  ·  BMC Pediatr  ·  10.09.2026  ·  PMID 42736550</w:t>
      </w:r>
    </w:p>
    <w:p>
      <w:r>
        <w:t>Nicht-Inferioritätsstudie mit externem historischem Vergleich: 60 Kinder (6–15,9 Jahre) mit Adipositas in Abu Dhabi erhielten Evira (Digi-Physical-Tool); Vergleich mit 107 Stockholmer Kindern aus Vorläuferstudie, primäres Outcome BMI-z-Score-Veränderung bei 26 Wochen.</w:t>
      </w:r>
    </w:p>
    <w:p>
      <w:r>
        <w:rPr>
          <w:b/>
        </w:rPr>
        <w:t xml:space="preserve">Ergebnis: </w:t>
      </w:r>
      <w:r>
        <w:t>Abu Dhabi: –0,20 z-Score (95% KI –0,28 bis –0,12); Stockholm: –0,20 z-Score (–0,26 bis –0,14); p=0,88. Nicht-Inferioritätsmargin 0,10 nicht überschritten. 45,7% Abu Dhabi vs. 36,4% Stockholm erreichten klinisch signifikante Reduktion (≥0,20 Einheiten). Abbruchquoten 41,7% vs. 28,0% (p=0,07).</w:t>
      </w:r>
    </w:p>
    <w:p>
      <w:r>
        <w:rPr>
          <w:b/>
          <w:sz w:val="19"/>
        </w:rPr>
        <w:t xml:space="preserve">Übertragbarkeit: </w:t>
      </w:r>
      <w:r>
        <w:rPr>
          <w:sz w:val="19"/>
        </w:rPr>
        <w:t>Skandinavien-Anwendungsstudie, zeigt Übertragbarkeit strukturierter Versorgung.</w:t>
      </w:r>
    </w:p>
    <w:p>
      <w:r>
        <w:rPr>
          <w:color w:val="5A7D3A"/>
          <w:sz w:val="18"/>
        </w:rPr>
        <w:t>https://pubmed.ncbi.nlm.nih.gov/42736550/</w:t>
      </w:r>
    </w:p>
    <w:p>
      <w:pPr>
        <w:pStyle w:val="Heading2"/>
      </w:pPr>
      <w:r>
        <w:t>Gestationsgewicht und Stoffwechsel beeinflussen Geburtsgewicht bei maternaler Adipositas</w:t>
      </w:r>
    </w:p>
    <w:p>
      <w:r>
        <w:rPr>
          <w:i/>
          <w:color w:val="666666"/>
          <w:sz w:val="18"/>
        </w:rPr>
        <w:t>Bonnichsen ML et al.  ·  Acta Obstet Gynecol Scand  ·  12.08.2026  ·  PMID 42583737</w:t>
      </w:r>
    </w:p>
    <w:p>
      <w:r>
        <w:t>Prospektive Kohortenstudie von 163 schwangeren Frauen mit Prägestations-BMI≥35 zur Assoziation von Gestationsgewichtszunahme und HbA1c mit fötalem Wachstum und Geburtsgewicht.</w:t>
      </w:r>
    </w:p>
    <w:p>
      <w:r>
        <w:rPr>
          <w:b/>
        </w:rPr>
        <w:t xml:space="preserve">Ergebnis: </w:t>
      </w:r>
      <w:r>
        <w:t>Durchschnittliches Geburtsgewicht normal (z-Score 0,117), aber 18,4% LGA und 12,9% SGA. In multivariater Analyse: wöchentliche Gewichtszunahme ab Woche 36 positiv assoziiert mit Geburtsgewicht (z-Score), HbA1c positiv assoziiert. Ein Drittel bekam GDM, ein Drittel davon brauchte medikamentöse Therapie.</w:t>
      </w:r>
    </w:p>
    <w:p>
      <w:r>
        <w:rPr>
          <w:b/>
          <w:sz w:val="19"/>
        </w:rPr>
        <w:t xml:space="preserve">Übertragbarkeit: </w:t>
      </w:r>
      <w:r>
        <w:rPr>
          <w:sz w:val="19"/>
        </w:rPr>
        <w:t>Norwegische Klinikdaten, vergleichbares Gesundheitssystem, zeigt Bedeutung der Gewichtsmonitoring in der Schwangerschaft.</w:t>
      </w:r>
    </w:p>
    <w:p>
      <w:r>
        <w:rPr>
          <w:color w:val="5A7D3A"/>
          <w:sz w:val="18"/>
        </w:rPr>
        <w:t>https://pubmed.ncbi.nlm.nih.gov/42583737/</w:t>
      </w:r>
    </w:p>
    <w:p>
      <w:pPr>
        <w:pStyle w:val="Heading1"/>
      </w:pPr>
      <w:r>
        <w:t>Aufgenommen am 16.09.2026</w:t>
      </w:r>
    </w:p>
    <w:p>
      <w:pPr>
        <w:pStyle w:val="Heading2"/>
      </w:pPr>
      <w:r>
        <w:t>Gewichtsmanagement bei Männern mit Mehrfacherkrankungen: Geschlechtsunterschiede in Therapieergebnissen</w:t>
      </w:r>
    </w:p>
    <w:p>
      <w:r>
        <w:rPr>
          <w:i/>
          <w:color w:val="666666"/>
          <w:sz w:val="18"/>
        </w:rPr>
        <w:t>Macaulay L et al.  ·  BMJ Open  ·  15.09.2026  ·  PMID 42744369</w:t>
      </w:r>
    </w:p>
    <w:p>
      <w:r>
        <w:t>Randomisierte Studie zu Gewichtsmanagement-Intervention mit Textnachrichten und finanziellen Anreizen bei 585 Männern mit Adipositas in drei britischen Zentren; 40% hatten Mehrfacherkrankungen.</w:t>
      </w:r>
    </w:p>
    <w:p>
      <w:r>
        <w:rPr>
          <w:b/>
        </w:rPr>
        <w:t xml:space="preserve">Ergebnis: </w:t>
      </w:r>
      <w:r>
        <w:t>Retentionsquote nach 12 Monaten: 76% bei Männern mit Behinderung, 75% ohne Erkrankungen, 65% mit Diabetes. Stigmaerlebnis, Wohlbefinden und Lebensqualität verbesserten sich in der Interventionsgruppe oder blieben gleich. Hospitalisierungen und eingeschränkte Mobilität waren demotivierend für Gewichtsverlust.</w:t>
      </w:r>
    </w:p>
    <w:p>
      <w:r>
        <w:rPr>
          <w:b/>
          <w:sz w:val="19"/>
        </w:rPr>
        <w:t xml:space="preserve">Übertragbarkeit: </w:t>
      </w:r>
      <w:r>
        <w:rPr>
          <w:sz w:val="19"/>
        </w:rPr>
        <w:t>UK-Studie, aber Versorgungsstrukturen vergleichbar mit Deutschland, deutsche Gesundheitsdatenbasis nicht erforderlich.</w:t>
      </w:r>
    </w:p>
    <w:p>
      <w:r>
        <w:rPr>
          <w:color w:val="5A7D3A"/>
          <w:sz w:val="18"/>
        </w:rPr>
        <w:t>https://pubmed.ncbi.nlm.nih.gov/42744369/</w:t>
      </w:r>
    </w:p>
    <w:p>
      <w:pPr>
        <w:pStyle w:val="Heading2"/>
      </w:pPr>
      <w:r>
        <w:t>Digitale Ernährungsplattform mit Fachberatung: Gewichtsverlust und Engagement</w:t>
      </w:r>
    </w:p>
    <w:p>
      <w:r>
        <w:rPr>
          <w:i/>
          <w:color w:val="666666"/>
          <w:sz w:val="18"/>
        </w:rPr>
        <w:t>Goddard FGB et al.  ·  JMIR Mhealth Uhealth  ·  15.09.2026  ·  PMID 42743588</w:t>
      </w:r>
    </w:p>
    <w:p>
      <w:r>
        <w:t>Retrospektive Kohorte von 10.288 aktiven Nutzern einer arbeitgeberfinanzierten digitalen Ernährungsplattform mit Fachberatung durch Ernährungsfachkräfte; median 6 Monate Verfolgung.</w:t>
      </w:r>
    </w:p>
    <w:p>
      <w:r>
        <w:rPr>
          <w:b/>
        </w:rPr>
        <w:t xml:space="preserve">Ergebnis: </w:t>
      </w:r>
      <w:r>
        <w:t>Nach 3 Monaten: 2,0 kg Gewichtsverlust (2,4% Ausgangsgewicht), nach 6 Monaten: 2,3 kg (2,8%). Höhere Programmbegeisterung assoziiert mit mehr Gewichtsverlust; mindestens eine Fachberatung alle 2 Monate zeigte stärkste Assoziation: +0,8 kg zusätzlicher Gewichtsverlust nach 3 Monaten.</w:t>
      </w:r>
    </w:p>
    <w:p>
      <w:r>
        <w:rPr>
          <w:b/>
          <w:sz w:val="19"/>
        </w:rPr>
        <w:t xml:space="preserve">Übertragbarkeit: </w:t>
      </w:r>
      <w:r>
        <w:rPr>
          <w:sz w:val="19"/>
        </w:rPr>
        <w:t>Portugiesische Plattformdaten; digitale Interventionen mit Fachberatung sind übertragbar auf strukturierte deutsche Versorgung.</w:t>
      </w:r>
    </w:p>
    <w:p>
      <w:r>
        <w:rPr>
          <w:color w:val="5A7D3A"/>
          <w:sz w:val="18"/>
        </w:rPr>
        <w:t>https://pubmed.ncbi.nlm.nih.gov/42743588/</w:t>
      </w:r>
    </w:p>
    <w:p>
      <w:pPr>
        <w:pStyle w:val="Heading2"/>
      </w:pPr>
      <w:r>
        <w:t>Akzeptabilität eines koreanischen Kräuterprogramms bei Adipositas: Zielgruppe mit Erfolg</w:t>
      </w:r>
    </w:p>
    <w:p>
      <w:r>
        <w:rPr>
          <w:i/>
          <w:color w:val="666666"/>
          <w:sz w:val="18"/>
        </w:rPr>
        <w:t>Pandey A et al.  ·  Nutrients  ·  07.09.2026  ·  PMID 42739109</w:t>
      </w:r>
    </w:p>
    <w:p>
      <w:r>
        <w:t>Retrospektive Analyse von 3798 Adipositaspatienten (BMI ≥30 kg/m²) an einer koreanischen Privatklinik; 37 erreichten ≥10% Gewichtsverlust und BMI ≤23 kg/m², davon 16 beantworteten Zufriedenheitsfragen.</w:t>
      </w:r>
    </w:p>
    <w:p>
      <w:r>
        <w:rPr>
          <w:b/>
        </w:rPr>
        <w:t xml:space="preserve">Ergebnis: </w:t>
      </w:r>
      <w:r>
        <w:t>Mittlere BMI-Abnahme: -8,9 kg/m² (Spannweite -9,6 bis -7,7). Zufriedenheitsratings hoch. Häufige unerwünschte Ereignisse: Verstopfung, Übelkeit, Schwindel. Förderliche Faktoren: wahrgenommener Gewichtsverlustnutzen, Programmstruktur, Sicherheit. Barrieren: Gewichtszunahme nach Behandlung, diätetische Belastung, finanzielle Bedenken.</w:t>
      </w:r>
    </w:p>
    <w:p>
      <w:r>
        <w:rPr>
          <w:b/>
          <w:sz w:val="19"/>
        </w:rPr>
        <w:t xml:space="preserve">Übertragbarkeit: </w:t>
      </w:r>
      <w:r>
        <w:rPr>
          <w:sz w:val="19"/>
        </w:rPr>
        <w:t>Südkorea; kulturelle Unterschiede bei Programmannahme, klinische Struktur nicht auf Deutschland übertragbar.</w:t>
      </w:r>
    </w:p>
    <w:p>
      <w:r>
        <w:rPr>
          <w:color w:val="5A7D3A"/>
          <w:sz w:val="18"/>
        </w:rPr>
        <w:t>https://pubmed.ncbi.nlm.nih.gov/42739109/</w:t>
      </w:r>
    </w:p>
    <w:p>
      <w:pPr>
        <w:pStyle w:val="Heading2"/>
      </w:pPr>
      <w:r>
        <w:t>Zeitlich begrenzte Mahlzeiten bei Veteranen mit Querschnittlähmung und Adipositas</w:t>
      </w:r>
    </w:p>
    <w:p>
      <w:r>
        <w:rPr>
          <w:i/>
          <w:color w:val="666666"/>
          <w:sz w:val="18"/>
        </w:rPr>
        <w:t>Evans C et al.  ·  Nutrients  ·  02.09.2026  ·  PMID 42739050</w:t>
      </w:r>
    </w:p>
    <w:p>
      <w:r>
        <w:t>Pilottest mit 15 Veteranen mit Rückenmarksverletzung (SCI) und Adipositas; 6-wöchige Intervention mit zeitlich begrenztem Essen (≤10 h tägliches Mahlzeitenfenster).</w:t>
      </w:r>
    </w:p>
    <w:p>
      <w:r>
        <w:rPr>
          <w:b/>
        </w:rPr>
        <w:t xml:space="preserve">Ergebnis: </w:t>
      </w:r>
      <w:r>
        <w:t>14 Teilnehmende beendeten Studie. Adhärenz: 83,0%, durchschn. Mahlzeitenfenster 9,2 ± 1,5 h. Akzeptabilität moderat hoch (50% planten Fortsetzung, 79% würden empfehlen). Glykämische Kontrolle verbesserte sich: 24-h-Glukose -7 ± 3 mg/dL (p=0,02), Glukose-Management-Indikator -0,2 ± 0,1% (p=0,02), Zeit im Zielbereich +3,2 ± 1,6% (p=0,02).</w:t>
      </w:r>
    </w:p>
    <w:p>
      <w:r>
        <w:rPr>
          <w:b/>
          <w:sz w:val="19"/>
        </w:rPr>
        <w:t xml:space="preserve">Übertragbarkeit: </w:t>
      </w:r>
      <w:r>
        <w:rPr>
          <w:sz w:val="19"/>
        </w:rPr>
        <w:t>USA-Studie bei Spezialgruppe; Ergebnis Glykämiekontrolle ist systemabhängig, aber Machbarkeit bei Mobilitätseinschränkung relevant.</w:t>
      </w:r>
    </w:p>
    <w:p>
      <w:r>
        <w:rPr>
          <w:color w:val="5A7D3A"/>
          <w:sz w:val="18"/>
        </w:rPr>
        <w:t>https://pubmed.ncbi.nlm.nih.gov/42739050/</w:t>
      </w:r>
    </w:p>
    <w:p>
      <w:pPr>
        <w:pStyle w:val="Heading2"/>
      </w:pPr>
      <w:r>
        <w:t>Personalisierte Ernährungs- und Verhaltensintervention: Gewichtsverlust und Langzeitmaintenance</w:t>
      </w:r>
    </w:p>
    <w:p>
      <w:r>
        <w:rPr>
          <w:i/>
          <w:color w:val="666666"/>
          <w:sz w:val="18"/>
        </w:rPr>
        <w:t>Momora A et al.  ·  Nutrients  ·  27.08.2026  ·  PMID 42738986</w:t>
      </w:r>
    </w:p>
    <w:p>
      <w:r>
        <w:t>Retrospektive Analyse von 267 übergewichtigen oder adipösen Erwachsenen, die personalisierte Diät mit psychodiätetischer Unterstützung (2018–2024) erhielten; 1-Jahres-Follow-up.</w:t>
      </w:r>
    </w:p>
    <w:p>
      <w:r>
        <w:rPr>
          <w:b/>
        </w:rPr>
        <w:t xml:space="preserve">Ergebnis: </w:t>
      </w:r>
      <w:r>
        <w:t>Mittlerer Gewichtsverlust: 10,45 ± 7,56 kg mit signifikanten BMI- und Körperfettabnahmen. Fettfreie Masse: -1,72 ± 2,20 kg, Skelettmuskulatur: -1,11 ± 1,36 kg. Nach 1 Jahr: 23,2% behielten ≥10% Gewichtsverlust bei. Hauptproblem: Gewichtsrückgang bei 76,8% der Teilnehmenden.</w:t>
      </w:r>
    </w:p>
    <w:p>
      <w:r>
        <w:rPr>
          <w:b/>
          <w:sz w:val="19"/>
        </w:rPr>
        <w:t xml:space="preserve">Übertragbarkeit: </w:t>
      </w:r>
      <w:r>
        <w:rPr>
          <w:sz w:val="19"/>
        </w:rPr>
        <w:t>Polen; klinische Daten aus ambulanter Versorgung, Struktur mit Ernährungsberatung vergleichbar mit Deutschland.</w:t>
      </w:r>
    </w:p>
    <w:p>
      <w:r>
        <w:rPr>
          <w:color w:val="5A7D3A"/>
          <w:sz w:val="18"/>
        </w:rPr>
        <w:t>https://pubmed.ncbi.nlm.nih.gov/42738986/</w:t>
      </w:r>
    </w:p>
    <w:p>
      <w:pPr>
        <w:pStyle w:val="Heading2"/>
      </w:pPr>
      <w:r>
        <w:t>Körperbildwahrnehmung bei krebsbedingtem Gewichtsverlust: Geschlechtsunterschiede</w:t>
      </w:r>
    </w:p>
    <w:p>
      <w:r>
        <w:rPr>
          <w:i/>
          <w:color w:val="666666"/>
          <w:sz w:val="18"/>
        </w:rPr>
        <w:t>Goodrose-Flores C et al.  ·  BMJ Open  ·  15.07.2026  ·  PMID 42457417</w:t>
      </w:r>
    </w:p>
    <w:p>
      <w:r>
        <w:t>Studienprotokoll der Multicenterstudie GRACE zu Geschlechtsunterschieden in der Körperbildwahrnehmung während krebsbedingtem Gewichtsverlust in sechs Ländern.</w:t>
      </w:r>
    </w:p>
    <w:p>
      <w:r>
        <w:rPr>
          <w:b/>
        </w:rPr>
        <w:t xml:space="preserve">Ergebnis: </w:t>
      </w:r>
      <w:r>
        <w:t>Zielrekrutierung: 600 Teilnehmende (je 50 Frauen und 50 Männer pro Land). Primärer Endpunkt: Differenz Body Image Scale (BIS)-Score zwischen Geschlechtern; 3 BIS-Punkte als klinisch bedeutsam definiert.</w:t>
      </w:r>
    </w:p>
    <w:p>
      <w:r>
        <w:rPr>
          <w:b/>
          <w:sz w:val="19"/>
        </w:rPr>
        <w:t xml:space="preserve">Übertragbarkeit: </w:t>
      </w:r>
      <w:r>
        <w:rPr>
          <w:sz w:val="19"/>
        </w:rPr>
        <w:t>Multinationale Studie, Ergebnisse erst bei Abschluss verfügbar; Studiendesign zeigt Methodenrelevanz für Versorgung.</w:t>
      </w:r>
    </w:p>
    <w:p>
      <w:r>
        <w:rPr>
          <w:color w:val="5A7D3A"/>
          <w:sz w:val="18"/>
        </w:rPr>
        <w:t>https://pubmed.ncbi.nlm.nih.gov/42457417/</w:t>
      </w:r>
    </w:p>
    <w:p>
      <w:pPr>
        <w:pStyle w:val="Heading1"/>
      </w:pPr>
      <w:r>
        <w:t>Aufgenommen am 15.09.2026</w:t>
      </w:r>
    </w:p>
    <w:p>
      <w:pPr>
        <w:pStyle w:val="Heading2"/>
      </w:pPr>
      <w:r>
        <w:t>Freies Triiodothyronin als Prädiktor für Erfolg nach Adipositaschirurgie</w:t>
      </w:r>
    </w:p>
    <w:p>
      <w:r>
        <w:rPr>
          <w:i/>
          <w:color w:val="666666"/>
          <w:sz w:val="18"/>
        </w:rPr>
        <w:t>Li S et al.  ·  Diabetes Metab Res Rev  ·  Sept. 2026  ·  PMID 42733963</w:t>
      </w:r>
    </w:p>
    <w:p>
      <w:r>
        <w:t>Kohortenstudie an 1.034 euthyreoten Patienten mit Übergewicht/Adipositas, die einer bariatrischen Operation unterzogen wurden: niedriges präoperatives FT3 (freies Triiodothyronin), besonders bei Frauen, war mit geringerer Gewichtsabnahme und Diabetes-Remission assoziiert.</w:t>
      </w:r>
    </w:p>
    <w:p>
      <w:r>
        <w:rPr>
          <w:b/>
        </w:rPr>
        <w:t xml:space="preserve">Ergebnis: </w:t>
      </w:r>
      <w:r>
        <w:t>Patienten mit FT3 unterhalb von 4,75 pmol/L (Frauen) bzw. 5,05 pmol/L (Männer) zeigten über 3 Jahre follow-up reduzierte Chancen auf Gewichtsverlust ≥25 % und Diabetes-Remission. Der Effekt war stärker bei Frauen (optimale Schwelle 4,57 für Remission). FT3 zeigte auch altersabhängige Plateaus bei der Assoziation mit fettfreier Masse.</w:t>
      </w:r>
    </w:p>
    <w:p>
      <w:r>
        <w:rPr>
          <w:b/>
          <w:sz w:val="19"/>
        </w:rPr>
        <w:t xml:space="preserve">Übertragbarkeit: </w:t>
      </w:r>
      <w:r>
        <w:rPr>
          <w:sz w:val="19"/>
        </w:rPr>
        <w:t>China (Shanghai); vergleichbares Erstattungssystem, bariatrische Diagnostik ähnlich Deutschland.</w:t>
      </w:r>
    </w:p>
    <w:p>
      <w:r>
        <w:rPr>
          <w:color w:val="5A7D3A"/>
          <w:sz w:val="18"/>
        </w:rPr>
        <w:t>https://pubmed.ncbi.nlm.nih.gov/42733963/</w:t>
      </w:r>
    </w:p>
    <w:p>
      <w:pPr>
        <w:pStyle w:val="Heading2"/>
      </w:pPr>
      <w:r>
        <w:t>Haarausfall bei Adipositasbehandlung: Ursachen und Managementansätze</w:t>
      </w:r>
    </w:p>
    <w:p>
      <w:r>
        <w:rPr>
          <w:i/>
          <w:color w:val="666666"/>
          <w:sz w:val="18"/>
        </w:rPr>
        <w:t>Troshina EA et al.  ·  Probl Endokrinol (Mosk)  ·  08.09.2026  ·  PMID 42733368</w:t>
      </w:r>
    </w:p>
    <w:p>
      <w:r>
        <w:t>Expertenkonsenspapier (Russische Endokrinologische Gesellschaft): Systematisiert Prävalenz, klinische und morphologische Varianten sowie Pathophysiologie von Alopecia im Rahmen von Gewichtsverlust durch Diät, bariatrische Chirurgie und Arzneimitteltherapie (insbesondere GLP-1-Rezeptoragonisten).</w:t>
      </w:r>
    </w:p>
    <w:p>
      <w:r>
        <w:rPr>
          <w:b/>
        </w:rPr>
        <w:t xml:space="preserve">Ergebnis: </w:t>
      </w:r>
      <w:r>
        <w:t>Telogen-Effluvium und andere Formen der diffusen Alopezie treten bei Gewichtsverlust durch metabolischen Stress, Protein-Energie-Mangelernährung und Mikronährstoffmängel auf. Biotin und Vitamin D spielen kritische Rollen für die Haarfollikel-Funktion. Risikogruppen sind Frauen, ältere Patienten und solche mit raschem Gewichtsverlust. Prävention und Management erfordern Überwachung, Supplementation, Therapietreue-Erhaltung.</w:t>
      </w:r>
    </w:p>
    <w:p>
      <w:r>
        <w:rPr>
          <w:b/>
          <w:sz w:val="19"/>
        </w:rPr>
        <w:t xml:space="preserve">Übertragbarkeit: </w:t>
      </w:r>
      <w:r>
        <w:rPr>
          <w:sz w:val="19"/>
        </w:rPr>
        <w:t>Expertenkonsenspapier ohne Originalforschung; identifiziert Versorgungslücke bei Nebenwirkungsmanagement.</w:t>
      </w:r>
    </w:p>
    <w:p>
      <w:r>
        <w:rPr>
          <w:color w:val="5A7D3A"/>
          <w:sz w:val="18"/>
        </w:rPr>
        <w:t>https://pubmed.ncbi.nlm.nih.gov/42733368/</w:t>
      </w:r>
    </w:p>
    <w:p>
      <w:pPr>
        <w:pStyle w:val="Heading2"/>
      </w:pPr>
      <w:r>
        <w:t>Adipositaschirurgie verbessert retinale Mikrovaskulatur bei Adipositas</w:t>
      </w:r>
    </w:p>
    <w:p>
      <w:r>
        <w:rPr>
          <w:i/>
          <w:color w:val="666666"/>
          <w:sz w:val="18"/>
        </w:rPr>
        <w:t>Salsabila S et al.  ·  Clin Obes  ·  Okt. 2026  ·  PMID 42723208</w:t>
      </w:r>
    </w:p>
    <w:p>
      <w:r>
        <w:t>Systematischer Review und Metaanalyse (8 prospektive Kohortenstudien, 283 Patienten): Bariatrische Chirurgie war mit günstigen Veränderungen der retinalen Gefäßkaliber assoziiert, gemessen an Zentralarteriolar- und Zentralvenularäquivalent sowie arteriovenösem Verhältnis.</w:t>
      </w:r>
    </w:p>
    <w:p>
      <w:r>
        <w:rPr>
          <w:b/>
        </w:rPr>
        <w:t xml:space="preserve">Ergebnis: </w:t>
      </w:r>
      <w:r>
        <w:t>Bariatrische Operation führte zu Zunahme der zentralen Arteriolen um 4,02 μm (95%-KI 0,26–7,78; p = 0,04), stärker in Sensitivitätsanalyse (+5,41 μm; p &lt; 0,01); Zentralvenen nahmen um 6,75 μm ab (p &lt; 0,01); arteriovenöses Verhältnis stieg um 0,03 (p &lt; 0,01). Effekte waren robust, zwischen-Studien-Heterogenität bestand aber.</w:t>
      </w:r>
    </w:p>
    <w:p>
      <w:r>
        <w:rPr>
          <w:b/>
          <w:sz w:val="19"/>
        </w:rPr>
        <w:t xml:space="preserve">Übertragbarkeit: </w:t>
      </w:r>
      <w:r>
        <w:rPr>
          <w:sz w:val="19"/>
        </w:rPr>
        <w:t>Überwiegend nicht-deutschsprachige Länder; bariatrisches Verfahren, deutsche Kassenfinanzierung nach Einzelfallprüfung.</w:t>
      </w:r>
    </w:p>
    <w:p>
      <w:r>
        <w:rPr>
          <w:color w:val="5A7D3A"/>
          <w:sz w:val="18"/>
        </w:rPr>
        <w:t>https://pubmed.ncbi.nlm.nih.gov/42723208/</w:t>
      </w:r>
    </w:p>
    <w:p>
      <w:pPr>
        <w:pStyle w:val="Heading2"/>
      </w:pPr>
      <w:r>
        <w:t>Diätetische Fehlernährung und Adipositas bei Kuwaiti-Jugendlichen</w:t>
      </w:r>
    </w:p>
    <w:p>
      <w:r>
        <w:rPr>
          <w:i/>
          <w:color w:val="666666"/>
          <w:sz w:val="18"/>
        </w:rPr>
        <w:t>AlBaloul AH  ·  BMC Pediatr  ·  11.08.2026  ·  PMID 42717328</w:t>
      </w:r>
    </w:p>
    <w:p>
      <w:r>
        <w:t>Schulbasierte Querschnittsstudie (375 Adoleszente, 13–17 Jahre) in Kuwait: Untersucht wurde die Einhaltung Diätetischer Referenzwerte und Assoziationen zwischen Ernährungsintake und Überernährung (BMI, Taillenumfang).</w:t>
      </w:r>
    </w:p>
    <w:p>
      <w:r>
        <w:rPr>
          <w:b/>
        </w:rPr>
        <w:t xml:space="preserve">Ergebnis: </w:t>
      </w:r>
      <w:r>
        <w:t>44,5 % waren übergewichtig oder adipös (BMI-basiert), 34,7 % hatten erhöhten Taillenumfang. Proteinzufuhr war invers assoziiert mit erhöhtem Taillenumfang (OR 0,89), während erhöhte Gesamtfett-, Kohlenhydrat- und Rotfleischzufuhr positiv assoziiert waren. 92,2 % Jugendliche mit übermäßiger Zuckeraufnahme, 61,7 % mit erhöhter Fettzufuhr; fast alle unterschritten Faserempfehlungen.</w:t>
      </w:r>
    </w:p>
    <w:p>
      <w:r>
        <w:rPr>
          <w:b/>
          <w:sz w:val="19"/>
        </w:rPr>
        <w:t xml:space="preserve">Übertragbarkeit: </w:t>
      </w:r>
      <w:r>
        <w:rPr>
          <w:sz w:val="19"/>
        </w:rPr>
        <w:t>Kuwait (Mittlerer Osten); nicht deutsches System, aber vergleichbare Probleme rapidem Übergang zu westlicher Ernährung.</w:t>
      </w:r>
    </w:p>
    <w:p>
      <w:r>
        <w:rPr>
          <w:color w:val="5A7D3A"/>
          <w:sz w:val="18"/>
        </w:rPr>
        <w:t>https://pubmed.ncbi.nlm.nih.gov/42717328/</w:t>
      </w:r>
    </w:p>
    <w:p>
      <w:pPr>
        <w:pStyle w:val="Heading2"/>
      </w:pPr>
      <w:r>
        <w:t>Semaglutide senkt Entzündungsmarker und kardiovaskuläres Risiko bei Adipositas</w:t>
      </w:r>
    </w:p>
    <w:p>
      <w:r>
        <w:rPr>
          <w:i/>
          <w:color w:val="666666"/>
          <w:sz w:val="18"/>
        </w:rPr>
        <w:t>Plutzky J et al.  ·  Circulation  ·  15.09.2026  ·  PMID 42610271</w:t>
      </w:r>
    </w:p>
    <w:p>
      <w:r>
        <w:t>Sekundäranalyse der SELECT-Studie (17.604 Patienten mit kardiovaskulärer Erkrankung und Übergewicht/Adipositas): Semaglutid reduzierte den Entzündungsmarker hsCRP und die Rate major adverse cardiovascular events (MACE), unabhängig vom Ausmaß der Gewichtsabnahme.</w:t>
      </w:r>
    </w:p>
    <w:p>
      <w:r>
        <w:rPr>
          <w:b/>
        </w:rPr>
        <w:t xml:space="preserve">Ergebnis: </w:t>
      </w:r>
      <w:r>
        <w:t>Semaglutid reduzierte hsCRP um 37,8 % über 104 Wochen und senkten das MACE-Risiko über alle hsCRP-Subgruppen (p &lt; 0,001). hsCRP-Senkungen traten bereits nach 4–8 Wochen auf, vor größerer Gewichtsabnahme. Geringere hsCRP-Werte prognostizierten reduziertes MACE-Risiko (Entzündung als Teilmechanismus der kardiovaskulären Schutzwirkung).</w:t>
      </w:r>
    </w:p>
    <w:p>
      <w:r>
        <w:rPr>
          <w:b/>
          <w:sz w:val="19"/>
        </w:rPr>
        <w:t xml:space="preserve">Übertragbarkeit: </w:t>
      </w:r>
      <w:r>
        <w:rPr>
          <w:sz w:val="19"/>
        </w:rPr>
        <w:t>Bevölkerungsbasierte Studie (UK Biobank); keine deutsche Kostenübernahme solcher Präparate (§ 34 SGB V).</w:t>
      </w:r>
    </w:p>
    <w:p>
      <w:r>
        <w:rPr>
          <w:color w:val="5A7D3A"/>
          <w:sz w:val="18"/>
        </w:rPr>
        <w:t>https://pubmed.ncbi.nlm.nih.gov/42610271/</w:t>
      </w:r>
    </w:p>
    <w:p>
      <w:pPr>
        <w:pStyle w:val="Heading2"/>
      </w:pPr>
      <w:r>
        <w:t>Körperliche Aktivität und kardiovaskuläres Risiko bei metabolischem Syndrom</w:t>
      </w:r>
    </w:p>
    <w:p>
      <w:r>
        <w:rPr>
          <w:i/>
          <w:color w:val="666666"/>
          <w:sz w:val="18"/>
        </w:rPr>
        <w:t>An JQ et al.  ·  Front Endocrinol (Lausanne)  ·  31.07.2026  ·  PMID 42601879</w:t>
      </w:r>
    </w:p>
    <w:p>
      <w:r>
        <w:t>Prospektive Kohortenstudie (88.281 UK Biobank-Teilnehmer ohne kardiovaskuläre Erkrankung, Cardiovascular-Kidney-Metabolic-Stadien 0–3): Assoziationen zwischen Bewegungsdauer (leicht und moderat-intensiv) und Inzidenz kardiovaskulärer Erkrankungen zeigten stadium-spezifische Muster.</w:t>
      </w:r>
    </w:p>
    <w:p>
      <w:r>
        <w:rPr>
          <w:b/>
        </w:rPr>
        <w:t xml:space="preserve">Ergebnis: </w:t>
      </w:r>
      <w:r>
        <w:t>Moderat-intensive körperliche Aktivität (MVPA) senkte das kardiovaskuläre Risiko in den Stadien 1 und 2 um 42 % (Stadium 1) bzw. 33 % (Stadium 2). Leichte körperliche Aktivität reduzierte Risiko am meisten in Stadium 2 (18 % Reduktion). Im Stadium 3 zeigten sich U-förmige Dosis-Wirkungs-Kurven mit optimal 300–350 min/Woche MVPA. Inflexionspunkte lagen bei 213 min/Woche MVPA und 2.357 min/Woche leichter Aktivität.</w:t>
      </w:r>
    </w:p>
    <w:p>
      <w:r>
        <w:rPr>
          <w:b/>
          <w:sz w:val="19"/>
        </w:rPr>
        <w:t xml:space="preserve">Übertragbarkeit: </w:t>
      </w:r>
      <w:r>
        <w:rPr>
          <w:sz w:val="19"/>
        </w:rPr>
        <w:t>UK Biobank; accelerometer-gemessene Aktivität, europäisches Setting, direkt übertragbar.</w:t>
      </w:r>
    </w:p>
    <w:p>
      <w:r>
        <w:rPr>
          <w:color w:val="5A7D3A"/>
          <w:sz w:val="18"/>
        </w:rPr>
        <w:t>https://pubmed.ncbi.nlm.nih.gov/42601879/</w:t>
      </w:r>
    </w:p>
    <w:p>
      <w:pPr>
        <w:pStyle w:val="Heading2"/>
      </w:pPr>
      <w:r>
        <w:t>Adipositasmaßnahmen in Europas und Lateinamerikas: Politiken zeigen inkonsistente Effekte</w:t>
      </w:r>
    </w:p>
    <w:p>
      <w:r>
        <w:rPr>
          <w:i/>
          <w:color w:val="666666"/>
          <w:sz w:val="18"/>
        </w:rPr>
        <w:t>Donini LM et al.  ·  Int J Food Sci Nutr  ·  13.07.2026  ·  PMID 42439451</w:t>
      </w:r>
    </w:p>
    <w:p>
      <w:r>
        <w:t>Ökologische Querschnittstudie (20 europäische und lateinamerikanische Länder, 2010–2024): Untersucht wurden Änderungen in Lebensmittel- und Nährstoffkonsum sowie Adipositasprävalenz nach Einführung präventiver Maßnahmen (Steuern, Front-of-Pack-Kennzeichnung).</w:t>
      </w:r>
    </w:p>
    <w:p>
      <w:r>
        <w:rPr>
          <w:b/>
        </w:rPr>
        <w:t xml:space="preserve">Ergebnis: </w:t>
      </w:r>
      <w:r>
        <w:t>Lebensmittelkonsum-Trends zeigten keine konsistente Assoziation mit Politikadoptionen. In mehreren Ländern sank der Konsum "gesunder" Lebensmittel über Zeit, während "ungesunde" Nahrungsmittel stiegen, unabhängig von Policyadoption. Trends um Politikjahr herum suggerierten Adipositasverlaufsänderungen, besonders bei Kindern und Jugendlichen, aber inkonsistent über Settings. Multifaktorielle Natur der Adipositas erklärt kontrastierende Befunde.</w:t>
      </w:r>
    </w:p>
    <w:p>
      <w:r>
        <w:rPr>
          <w:b/>
          <w:sz w:val="19"/>
        </w:rPr>
        <w:t xml:space="preserve">Übertragbarkeit: </w:t>
      </w:r>
      <w:r>
        <w:rPr>
          <w:sz w:val="19"/>
        </w:rPr>
        <w:t>Europäische und lateinamerikanische Systeme mit unterschiedlicher Ausgangslage; zeigt Grenzen einzelner Verhältnisprävention.</w:t>
      </w:r>
    </w:p>
    <w:p>
      <w:r>
        <w:rPr>
          <w:color w:val="5A7D3A"/>
          <w:sz w:val="18"/>
        </w:rPr>
        <w:t>https://pubmed.ncbi.nlm.nih.gov/42439451/</w:t>
      </w:r>
    </w:p>
    <w:p>
      <w:pPr>
        <w:pStyle w:val="Heading1"/>
      </w:pPr>
      <w:r>
        <w:t>Aufgenommen am 14.09.2026</w:t>
      </w:r>
    </w:p>
    <w:p>
      <w:pPr>
        <w:pStyle w:val="Heading2"/>
      </w:pPr>
      <w:r>
        <w:t>Speckle-Tracking zeigt Karotis-Steifheit bei Metabolischem Syndrom</w:t>
      </w:r>
    </w:p>
    <w:p>
      <w:r>
        <w:rPr>
          <w:i/>
          <w:color w:val="666666"/>
          <w:sz w:val="18"/>
        </w:rPr>
        <w:t>Topan ED et al.  ·  BMC Med Imaging  ·  11.09.2026  ·  PMID 42728590</w:t>
      </w:r>
    </w:p>
    <w:p>
      <w:r>
        <w:t>Retrospektive Querschnittsstudie von n=100 Teilnehmern (50 mit Metabolischem Syndrom, 50 Kontrollen) zur Bewertung multidimensionaler Karotis-Mechanik mittels Speckle-Tracking-Ultrasonographie und deren Assoziation mit metabolischer Belastung.</w:t>
      </w:r>
    </w:p>
    <w:p>
      <w:r>
        <w:rPr>
          <w:b/>
        </w:rPr>
        <w:t xml:space="preserve">Ergebnis: </w:t>
      </w:r>
      <w:r>
        <w:t>Patienten mit Metabolischem Syndrom zeigten signifikant erhöhte Steifheitsparameter (elastischer Modul, Pulswellengeschwindigkeit) und reduzierte Compliance-Indizes (alle p&lt;0,05). Dehnungsanalyse ergab signifikant niedrigere radiale und zirkumferentielle Dehnungswerte in der MetS-Gruppe, besonders ausgeprägt in der transversalen Ebene (alle p&lt;0,001). MetS-Status war einer der wichtigsten Determinanten bei CART-Analyse.</w:t>
      </w:r>
    </w:p>
    <w:p>
      <w:r>
        <w:rPr>
          <w:b/>
          <w:sz w:val="19"/>
        </w:rPr>
        <w:t xml:space="preserve">Übertragbarkeit: </w:t>
      </w:r>
      <w:r>
        <w:rPr>
          <w:sz w:val="19"/>
        </w:rPr>
        <w:t>Türkische Klinik, aber Ultraschall-Methode international standardisiert; funktionelle Vaskulärmechanik</w:t>
      </w:r>
    </w:p>
    <w:p>
      <w:r>
        <w:rPr>
          <w:color w:val="5A7D3A"/>
          <w:sz w:val="18"/>
        </w:rPr>
        <w:t>https://pubmed.ncbi.nlm.nih.gov/42728590/</w:t>
      </w:r>
    </w:p>
    <w:p>
      <w:pPr>
        <w:pStyle w:val="Heading2"/>
      </w:pPr>
      <w:r>
        <w:t>Sarkopenische Adipositas erhöht chronische Lungenerkrankung um 50 Prozent</w:t>
      </w:r>
    </w:p>
    <w:p>
      <w:r>
        <w:rPr>
          <w:i/>
          <w:color w:val="666666"/>
          <w:sz w:val="18"/>
        </w:rPr>
        <w:t>Guo H et al.  ·  Chron Respir Dis  ·  11.09.2026  ·  PMID 42727588</w:t>
      </w:r>
    </w:p>
    <w:p>
      <w:r>
        <w:t>Prospektive Kohortenstudie aus China (CHARLS) und UK (ELSA) mit n=6.008 Teilnehmern ohne Lungenerkrankung zu Assoziationen zwischen sarkopenischer Adipositas und incidenter chronischer Lungenerkrankung.</w:t>
      </w:r>
    </w:p>
    <w:p>
      <w:r>
        <w:rPr>
          <w:b/>
        </w:rPr>
        <w:t xml:space="preserve">Ergebnis: </w:t>
      </w:r>
      <w:r>
        <w:t>Während der Nachbeobachtung (2011–2020) entwickelten 122 von 3.572 CHARLS-Teilnehmern und 101 von 2.436 ELSA-Teilnehmern chronische Lungenerkrankung. Nach vollständiger Adjustierung zeigte sarkopenische Adipositas ein HR von 1,50 (p=0,003) in CHARLS und 2,19 (p=0,006) in ELSA.</w:t>
      </w:r>
    </w:p>
    <w:p>
      <w:r>
        <w:rPr>
          <w:b/>
          <w:sz w:val="19"/>
        </w:rPr>
        <w:t xml:space="preserve">Übertragbarkeit: </w:t>
      </w:r>
      <w:r>
        <w:rPr>
          <w:sz w:val="19"/>
        </w:rPr>
        <w:t>Zwei europäische und asiatische Kohorten, Dokumentation vergleichbar; Körperzusammensetzung als Funktionsmarker relevant</w:t>
      </w:r>
    </w:p>
    <w:p>
      <w:r>
        <w:rPr>
          <w:color w:val="5A7D3A"/>
          <w:sz w:val="18"/>
        </w:rPr>
        <w:t>https://pubmed.ncbi.nlm.nih.gov/42727588/</w:t>
      </w:r>
    </w:p>
    <w:p>
      <w:pPr>
        <w:pStyle w:val="Heading2"/>
      </w:pPr>
      <w:r>
        <w:t>BMI modifiziert Lärmbelastungs-Effekt auf Fettleber in Fabrikarbeitern</w:t>
      </w:r>
    </w:p>
    <w:p>
      <w:r>
        <w:rPr>
          <w:i/>
          <w:color w:val="666666"/>
          <w:sz w:val="18"/>
        </w:rPr>
        <w:t>Liu D et al.  ·  PLoS One  ·  11.09.2026  ·  PMID 42726755</w:t>
      </w:r>
    </w:p>
    <w:p>
      <w:r>
        <w:t>Retrospektive Querschnittsstudie von n=769 männlichen Werkarbeitern mit Lärmexposition zur Untersuchung der Assoziation zwischen Lärmexpositionsdauer und Ultraschall-detektierter Steatosis hepatis sowie BMI als Moderator.</w:t>
      </w:r>
    </w:p>
    <w:p>
      <w:r>
        <w:rPr>
          <w:b/>
        </w:rPr>
        <w:t xml:space="preserve">Ergebnis: </w:t>
      </w:r>
      <w:r>
        <w:t>Insgesamt 53,2% der Arbeiter hatten hepatische Steatosis. Lärmexpositionsdauer zeigte unabhängige Assoziation mit Steatosis; modifizierte Poisson-Regression zeigte negativen Interaktionseffekt mit BMI (p=0,006). Bei Normalgewichtigen war jedes zusätzliche Jahr Lärmexposition mit 8,2% höherer Steatosis-Wahrscheinlichkeit assoziiert (p&lt;0,001), nicht signifikant bei Übergewicht/Adipositas. Kritischer Schwellenwert BMI 27,7 kg/m².</w:t>
      </w:r>
    </w:p>
    <w:p>
      <w:r>
        <w:rPr>
          <w:b/>
          <w:sz w:val="19"/>
        </w:rPr>
        <w:t xml:space="preserve">Übertragbarkeit: </w:t>
      </w:r>
      <w:r>
        <w:rPr>
          <w:sz w:val="19"/>
        </w:rPr>
        <w:t>China, aber Lärmexpositions-Effektmodifikation ist gesundheitspolitisch relevant; Berufskrankheit</w:t>
      </w:r>
    </w:p>
    <w:p>
      <w:r>
        <w:rPr>
          <w:color w:val="5A7D3A"/>
          <w:sz w:val="18"/>
        </w:rPr>
        <w:t>https://pubmed.ncbi.nlm.nih.gov/42726755/</w:t>
      </w:r>
    </w:p>
    <w:p>
      <w:pPr>
        <w:pStyle w:val="Heading2"/>
      </w:pPr>
      <w:r>
        <w:t>Adipositas verschärft MS-Behinderung nur ohne HLA-A*02:01-Allel</w:t>
      </w:r>
    </w:p>
    <w:p>
      <w:r>
        <w:rPr>
          <w:i/>
          <w:color w:val="666666"/>
          <w:sz w:val="18"/>
        </w:rPr>
        <w:t>Guo J et al.  ·  J Neurol  ·  08.09.2026  ·  PMID 42709196</w:t>
      </w:r>
    </w:p>
    <w:p>
      <w:r>
        <w:t>Schwedische bevölkerungsbasierte Fall-Kontroll-Studie mit n=2.117 MS-Patienten (Erkrankungsdauer ≤5 Jahre) zur Frage, ob Adipositas-Effekte auf Behinderungsprogression vom HLA-A*02:01-Status abhängen.</w:t>
      </w:r>
    </w:p>
    <w:p>
      <w:r>
        <w:rPr>
          <w:b/>
        </w:rPr>
        <w:t xml:space="preserve">Ergebnis: </w:t>
      </w:r>
      <w:r>
        <w:t>Bei Patienten ohne HLA-A*02:01 war Adipositas (BMI&gt;30) mit erhöhtem Risiko für confirmed disability worsening assoziiert (HR 1,49; 95%-KI 1,12–1,82), mit HR 1,90 für EDSS-Stadium 3 und HR 2,30 für Stadium 4. Bei HLA-A*02:01-positiven Personen fanden sich keine entsprechenden Assoziationen. Additive Interaktionsanalyse stützte einen gemeinsamen Effekt.</w:t>
      </w:r>
    </w:p>
    <w:p>
      <w:r>
        <w:rPr>
          <w:b/>
          <w:sz w:val="19"/>
        </w:rPr>
        <w:t xml:space="preserve">Übertragbarkeit: </w:t>
      </w:r>
      <w:r>
        <w:rPr>
          <w:sz w:val="19"/>
        </w:rPr>
        <w:t>Schweden, Krankheitsregister-Verfolgung, europäisches System; genetische Modifikation versorgungsrelevant</w:t>
      </w:r>
    </w:p>
    <w:p>
      <w:r>
        <w:rPr>
          <w:color w:val="5A7D3A"/>
          <w:sz w:val="18"/>
        </w:rPr>
        <w:t>https://pubmed.ncbi.nlm.nih.gov/42709196/</w:t>
      </w:r>
    </w:p>
    <w:p>
      <w:pPr>
        <w:pStyle w:val="Heading2"/>
      </w:pPr>
      <w:r>
        <w:t>Metabolisches Syndrom erhöht kardiovaskuläres Multimorbidität-Risiko in drei Ländern</w:t>
      </w:r>
    </w:p>
    <w:p>
      <w:r>
        <w:rPr>
          <w:i/>
          <w:color w:val="666666"/>
          <w:sz w:val="18"/>
        </w:rPr>
        <w:t>Zhang W et al.  ·  Sci Rep  ·  24.07.2026  ·  PMID 42693153</w:t>
      </w:r>
    </w:p>
    <w:p>
      <w:r>
        <w:t>Prospektive Kohortenstudie in China, USA und UK (n=17.894) über Assoziation eines kontinuierlichen Metabolischen Syndrom-Scores mit kardiovaskulärer Multimorbidität.</w:t>
      </w:r>
    </w:p>
    <w:p>
      <w:r>
        <w:rPr>
          <w:b/>
        </w:rPr>
        <w:t xml:space="preserve">Ergebnis: </w:t>
      </w:r>
      <w:r>
        <w:t>Nach medianer Nachbeobachtung von 4–7 Jahren traten 1.061 Fälle kardiovaskulärer Multimorbidität auf. Im höchsten Tertil des Metabolischen Syndrom-Scores lag das Hazard Ratio bei 4,27 (CHARLS), 1,77 (HRS) und 1,54 (ELSA). Der gepoolte HR pro 1-SD-Anstieg betrug 1,35 (95%-KI 1,17–1,56). Die Dosis-Wirkungs-Beziehung war nichtlinear in China, linear in USA und UK.</w:t>
      </w:r>
    </w:p>
    <w:p>
      <w:r>
        <w:rPr>
          <w:b/>
          <w:sz w:val="19"/>
        </w:rPr>
        <w:t xml:space="preserve">Übertragbarkeit: </w:t>
      </w:r>
      <w:r>
        <w:rPr>
          <w:sz w:val="19"/>
        </w:rPr>
        <w:t>UK-Biobank-Daten, international vergleichbar; Metabolisches Syndrom ist zentral für deutsche Risikostratifizierung</w:t>
      </w:r>
    </w:p>
    <w:p>
      <w:r>
        <w:rPr>
          <w:color w:val="5A7D3A"/>
          <w:sz w:val="18"/>
        </w:rPr>
        <w:t>https://pubmed.ncbi.nlm.nih.gov/42693153/</w:t>
      </w:r>
    </w:p>
    <w:p>
      <w:pPr>
        <w:pStyle w:val="Heading2"/>
      </w:pPr>
      <w:r>
        <w:t>Adipositas in Kindesalter (5–7 Jahre) ist mit viszeralem Fett im Erwachsenenalter verbunden</w:t>
      </w:r>
    </w:p>
    <w:p>
      <w:r>
        <w:rPr>
          <w:i/>
          <w:color w:val="666666"/>
          <w:sz w:val="18"/>
        </w:rPr>
        <w:t>Lai Q et al.  ·  BMJ Open  ·  16.07.2026  ·  PMID 42463217</w:t>
      </w:r>
    </w:p>
    <w:p>
      <w:r>
        <w:t>Zwei-Stichproben-Mendelsche Randomisierung mit Daten aus Early Growth Genetics Consortium und UK Biobank (n=195.000+) zu altersabhängigen Assoziationen genetisch vorhergesagtem Kindes-BMI mit MRT-gemessenem adultem Fettverteilungsmuster.</w:t>
      </w:r>
    </w:p>
    <w:p>
      <w:r>
        <w:rPr>
          <w:b/>
        </w:rPr>
        <w:t xml:space="preserve">Ergebnis: </w:t>
      </w:r>
      <w:r>
        <w:t>Höherer genetisch vorhergesagter BMI im Alter von 1,5–2 Jahren war mit erhöhtem abdominalem subkutanem Fett assoziiert. Viszerales Fett zeigte das stärkste Signal: höherer BMI im Alter von 5–7 Jahren war mit niedrigerem viszeralem Fett im Erwachsenenalter assoziiert (inverse Assoziationen). Nach Adjustierung für Adoleszenten-BMI schwächten sich die meisten Assoziationen ab; inverse Assoziationen bei 5–7 Jahren blieben nominal signifikant.</w:t>
      </w:r>
    </w:p>
    <w:p>
      <w:r>
        <w:rPr>
          <w:b/>
          <w:sz w:val="19"/>
        </w:rPr>
        <w:t xml:space="preserve">Übertragbarkeit: </w:t>
      </w:r>
      <w:r>
        <w:rPr>
          <w:sz w:val="19"/>
        </w:rPr>
        <w:t>UK-Biobank-Genetik, europäische Geburtskohorte Early Growth Genetics; frühe Fettverteilung determiniert späteren Phänotyp</w:t>
      </w:r>
    </w:p>
    <w:p>
      <w:r>
        <w:rPr>
          <w:color w:val="5A7D3A"/>
          <w:sz w:val="18"/>
        </w:rPr>
        <w:t>https://pubmed.ncbi.nlm.nih.gov/42463217/</w:t>
      </w:r>
    </w:p>
    <w:p>
      <w:pPr>
        <w:pStyle w:val="Heading1"/>
      </w:pPr>
      <w:r>
        <w:t>Aufgenommen am 13.09.2026</w:t>
      </w:r>
    </w:p>
    <w:p>
      <w:pPr>
        <w:pStyle w:val="Heading2"/>
      </w:pPr>
      <w:r>
        <w:t>Gewichtsrebound nach GLP-1-Agonisten-Absetzen: 17,9 % Differenz zu Fortsetzer-Gruppe</w:t>
      </w:r>
    </w:p>
    <w:p>
      <w:r>
        <w:rPr>
          <w:i/>
          <w:color w:val="666666"/>
          <w:sz w:val="18"/>
        </w:rPr>
        <w:t>Qi H et al.  ·  PeerJ  ·  08.09.2026  ·  PMID 42729958</w:t>
      </w:r>
    </w:p>
    <w:p>
      <w:r>
        <w:t>Systematische Übersicht mit Meta-Analyse von sechs RCTs zu Gewichtsveränderungen nach Diskontinuation von GLP-1-Rezeptoragonisten (Tirzepatid, Semaglutid, Liraglutid, Dulaglutid) bei übergewichtigen/adipösen Erwachsenen.</w:t>
      </w:r>
    </w:p>
    <w:p>
      <w:r>
        <w:rPr>
          <w:b/>
        </w:rPr>
        <w:t xml:space="preserve">Ergebnis: </w:t>
      </w:r>
      <w:r>
        <w:t>8.993 Patienten (5.553 Diskontinuation, 3.440 Fortsetzung); Mittlere Gewichtsdifferenz zwischen Gruppen 17,90 % (95%-KI [14,11–21,69], p‹0,0001). Tirzepatid-Rebound signifikant höher als Semaglutid. Gastrointestinale Nebenwirkungen nahmen nach Absetzen ab, kardiovaskuläre Ereignisse unbeeinflusst. Heterogenität I² = 59 %.</w:t>
      </w:r>
    </w:p>
    <w:p>
      <w:r>
        <w:rPr>
          <w:b/>
          <w:sz w:val="19"/>
        </w:rPr>
        <w:t xml:space="preserve">Übertragbarkeit: </w:t>
      </w:r>
      <w:r>
        <w:rPr>
          <w:sz w:val="19"/>
        </w:rPr>
        <w:t>Überwiegend nicht-deutsche Studien; zentral für Versorgungsrealtität: Wie lange müssen Patienten das Mittel nehmen? Kosten-Nutzen bei Wiederzunahme unklar.</w:t>
      </w:r>
    </w:p>
    <w:p>
      <w:r>
        <w:rPr>
          <w:color w:val="5A7D3A"/>
          <w:sz w:val="18"/>
        </w:rPr>
        <w:t>https://pubmed.ncbi.nlm.nih.gov/42729958/</w:t>
      </w:r>
    </w:p>
    <w:p>
      <w:pPr>
        <w:pStyle w:val="Heading2"/>
      </w:pPr>
      <w:r>
        <w:t>Körperrundeindex und Taille-Größe-Verhältnis beste Indikatoren für Hypertonie bei Adipositas</w:t>
      </w:r>
    </w:p>
    <w:p>
      <w:r>
        <w:rPr>
          <w:i/>
          <w:color w:val="666666"/>
          <w:sz w:val="18"/>
        </w:rPr>
        <w:t>Wang C et al.  ·  Front Public Health  ·  28.08.2026  ·  PMID 42729286</w:t>
      </w:r>
    </w:p>
    <w:p>
      <w:r>
        <w:t>Querschnittstudie an 117.609 chinesischen Erwachsenen zur Diskriminanzfähigkeit von zehn Adipositas-Indikatoren für Hypertonie.</w:t>
      </w:r>
    </w:p>
    <w:p>
      <w:r>
        <w:rPr>
          <w:b/>
        </w:rPr>
        <w:t xml:space="preserve">Ergebnis: </w:t>
      </w:r>
      <w:r>
        <w:t>Körperrundeindex (BRI) und Taille-Größe-Verhältnis (WHtR) zeigten die höchste Diskriminanzfähigkeit (AUC: 0,686–0,721). Optimale Cut-offs: BRI 3,66, WHtR 0,52. Jede Einheit Anstieg der BRI z-score war mit 51 % erhöhter Hypertonie-Wahrscheinlichkeit assoziiert (OR 1,51 [1,48–1,53]), WHtR mit 53 % (OR 1,53 [1,50–1,55]). Dosisschema nicht-linear.</w:t>
      </w:r>
    </w:p>
    <w:p>
      <w:r>
        <w:rPr>
          <w:b/>
          <w:sz w:val="19"/>
        </w:rPr>
        <w:t xml:space="preserve">Übertragbarkeit: </w:t>
      </w:r>
      <w:r>
        <w:rPr>
          <w:sz w:val="19"/>
        </w:rPr>
        <w:t>China, nationale Datenbank; Indikatoren sind klinisch einfach anwendbar, übertragbar auf Primärversorgung weltweit.</w:t>
      </w:r>
    </w:p>
    <w:p>
      <w:r>
        <w:rPr>
          <w:color w:val="5A7D3A"/>
          <w:sz w:val="18"/>
        </w:rPr>
        <w:t>https://pubmed.ncbi.nlm.nih.gov/42729286/</w:t>
      </w:r>
    </w:p>
    <w:p>
      <w:pPr>
        <w:pStyle w:val="Heading2"/>
      </w:pPr>
      <w:r>
        <w:t>Häusliche Umgebung in Infanz/Kleinkindzeit mediert nicht Mutter-BMI-zu-Kind-Adipositas-Assoziation</w:t>
      </w:r>
    </w:p>
    <w:p>
      <w:r>
        <w:rPr>
          <w:i/>
          <w:color w:val="666666"/>
          <w:sz w:val="18"/>
        </w:rPr>
        <w:t>Haridas DN et al.  ·  Eur J Pediatr  ·  11.09.2026  ·  PMID 42722906</w:t>
      </w:r>
    </w:p>
    <w:p>
      <w:r>
        <w:t>Retrospektive Kohortenstudie aus ECHO-Programm (USA) an 1.341 Mutter-Kind-Paaren zur Frage, ob Qualität des häuslichen Umfelds (IT-HOME) die Assoziation zwischen mütterlichem Prä-Schwangerschafts-BMI und Kindheits-BMI z-Score (Alter 3–6 Jahre) mediiert.</w:t>
      </w:r>
    </w:p>
    <w:p>
      <w:r>
        <w:rPr>
          <w:b/>
        </w:rPr>
        <w:t xml:space="preserve">Ergebnis: </w:t>
      </w:r>
      <w:r>
        <w:t>Kinder von übergewichtigen/adipösen Müttern hatten signifikant höhere BMI z-Scores als Kinder von normalgewichtigen Müttern, konsistent über sechs IT-HOME-Subskalen und Gesamt-IT-HOME z-Score. Häusliche Umgebung medierte diese Assoziation nicht (kein signifikanter indirekter Effekt über Responsivität, Annahme, Lernmaterialien, Organisation, Varietät, Elternbeteiligung).</w:t>
      </w:r>
    </w:p>
    <w:p>
      <w:r>
        <w:rPr>
          <w:b/>
          <w:sz w:val="19"/>
        </w:rPr>
        <w:t xml:space="preserve">Übertragbarkeit: </w:t>
      </w:r>
      <w:r>
        <w:rPr>
          <w:sz w:val="19"/>
        </w:rPr>
        <w:t>USA-Kohorte, struktureller Aufbau unterscheidet sich; aber zeigt Grenzen von Umfeld-Interventionen allein ohne Diet/Bewegung-Fokus – relevant für deutsche Familien-Adipositas-Programme.</w:t>
      </w:r>
    </w:p>
    <w:p>
      <w:r>
        <w:rPr>
          <w:color w:val="5A7D3A"/>
          <w:sz w:val="18"/>
        </w:rPr>
        <w:t>https://pubmed.ncbi.nlm.nih.gov/42722906/</w:t>
      </w:r>
    </w:p>
    <w:p>
      <w:pPr>
        <w:pStyle w:val="Heading2"/>
      </w:pPr>
      <w:r>
        <w:t>HOMA-IR ≥3,39 identifiziert Kinder mit Adipositas und erhöhtem obstruktivem Schlafapnoe-Risiko</w:t>
      </w:r>
    </w:p>
    <w:p>
      <w:r>
        <w:rPr>
          <w:i/>
          <w:color w:val="666666"/>
          <w:sz w:val="18"/>
        </w:rPr>
        <w:t>Sunman B et al.  ·  Eur J Pediatr  ·  10.09.2026  ·  PMID 42722762</w:t>
      </w:r>
    </w:p>
    <w:p>
      <w:r>
        <w:t>Retrospektive Querschnittstudie an 90 Kindern mit Adipositas (6–18 Jahre) zu Assoziation zwischen Insulinresistenz (HOMA-IR) und obstruktivem Schlafapnoe (OSA)-Schweregrad.</w:t>
      </w:r>
    </w:p>
    <w:p>
      <w:r>
        <w:rPr>
          <w:b/>
        </w:rPr>
        <w:t xml:space="preserve">Ergebnis: </w:t>
      </w:r>
      <w:r>
        <w:t>43,3 % (39/90) mit OSA. Mediane HOMA-IR signifikant höher in OSA-Gruppe (p=0,014). OAHI positiv korreliert mit HOMA-IR (ρ=0,325, p=0,002). Nach Adjustierung für Alter, Geschlecht, BMI z-Score, Schlafeffizienz, Pubertätsstatus: HOMA-IR unabhängig assoziiert mit OSA-Schweregrad (β=0,691, p=0,025). ROC-Analyse: HOMA-IR-Cutoff 3,39 mit 72 % Sensitivität, 59 % Spezifität.</w:t>
      </w:r>
    </w:p>
    <w:p>
      <w:r>
        <w:rPr>
          <w:b/>
          <w:sz w:val="19"/>
        </w:rPr>
        <w:t xml:space="preserve">Übertragbarkeit: </w:t>
      </w:r>
      <w:r>
        <w:rPr>
          <w:sz w:val="19"/>
        </w:rPr>
        <w:t>Türkei (Hacettepe), aber Methode (HOMA-IR) und Schlaflabor-Zugang standard in Europa; praktisches Risiko-Screening-Tool für Primärversorgung.</w:t>
      </w:r>
    </w:p>
    <w:p>
      <w:r>
        <w:rPr>
          <w:color w:val="5A7D3A"/>
          <w:sz w:val="18"/>
        </w:rPr>
        <w:t>https://pubmed.ncbi.nlm.nih.gov/42722762/</w:t>
      </w:r>
    </w:p>
    <w:p>
      <w:pPr>
        <w:pStyle w:val="Heading2"/>
      </w:pPr>
      <w:r>
        <w:t>Slow-Burn-Phänotyp: Kardiovaskuläres Risiko bei niedriger relativer Kalorienaufnahme trotz normales BMI</w:t>
      </w:r>
    </w:p>
    <w:p>
      <w:r>
        <w:rPr>
          <w:i/>
          <w:color w:val="666666"/>
          <w:sz w:val="18"/>
        </w:rPr>
        <w:t>Cho Y et al.  ·  Diabetes Obes Metab  ·  05.08.2026  ·  PMID 42557058</w:t>
      </w:r>
    </w:p>
    <w:p>
      <w:r>
        <w:t>Analyse von 160.905 Biobank-Teilnehmern zur Frage, ob eine niedrigere als erwartete Energieaufnahme relativ zu BMI, Alter und Geschlecht kardiovaskuläres Risiko kennzeichnet.</w:t>
      </w:r>
    </w:p>
    <w:p>
      <w:r>
        <w:rPr>
          <w:b/>
        </w:rPr>
        <w:t xml:space="preserve">Ergebnis: </w:t>
      </w:r>
      <w:r>
        <w:t>Niedrige relative Kalorienaufnahme (‹30. Perzentil) assoziiert mit erhöhtem 3-Punkt-MACE-Risiko (aHR 1,07 [1,01–1,14]) und Myokardinfarkt-Risiko (aHR 1,15 [1,06–1,25]). Normalgewichtige mit Low-Intake-Phänotyp zeigten 17 % höheres MACE-Risiko (aHR 1,17 [1,04–1,33]). Niedrige Muskelkraft erklärte 5,2 % des Überschussrisikos.</w:t>
      </w:r>
    </w:p>
    <w:p>
      <w:r>
        <w:rPr>
          <w:b/>
          <w:sz w:val="19"/>
        </w:rPr>
        <w:t xml:space="preserve">Übertragbarkeit: </w:t>
      </w:r>
      <w:r>
        <w:rPr>
          <w:sz w:val="19"/>
        </w:rPr>
        <w:t>UK Biobank, vergleichbares Gesundheitssystem; Imitiert deutsche Versorgungsrealität mit BMI-zentrierter Risikostratifizierung.</w:t>
      </w:r>
    </w:p>
    <w:p>
      <w:r>
        <w:rPr>
          <w:color w:val="5A7D3A"/>
          <w:sz w:val="18"/>
        </w:rPr>
        <w:t>https://pubmed.ncbi.nlm.nih.gov/42557058/</w:t>
      </w:r>
    </w:p>
    <w:p>
      <w:pPr>
        <w:pStyle w:val="Heading2"/>
      </w:pPr>
      <w:r>
        <w:t>Hormonelle Verhütung verdoppelt Semaglutid-Initiierung bei jungen Frauen – Gewichtszunahme-Sorge als Stimulus</w:t>
      </w:r>
    </w:p>
    <w:p>
      <w:r>
        <w:rPr>
          <w:i/>
          <w:color w:val="666666"/>
          <w:sz w:val="18"/>
        </w:rPr>
        <w:t>Bager MD et al.  ·  JAMA Netw Open  ·  01.07.2026  ·  PMID 42485041</w:t>
      </w:r>
    </w:p>
    <w:p>
      <w:r>
        <w:t>Dänische Register-Fall-Kontroll-Studie zu Assoziation zwischen Hormonkontrazeption und nachfolgender Semaglutid-Verordnung bei Frauen im reproduktiven Alter.</w:t>
      </w:r>
    </w:p>
    <w:p>
      <w:r>
        <w:rPr>
          <w:b/>
        </w:rPr>
        <w:t xml:space="preserve">Ergebnis: </w:t>
      </w:r>
      <w:r>
        <w:t>22.694 Semaglutid-Fälle, 229.640 Kontrollen (Alter 37 Jahre, Median). Alle Hormonkontrazeptions-Muster assoziiert mit Semaglutid-Initiierung vs. Nicht-Nutzer: kombinierte orale Tabletten aHR 1,42 (1,34–1,51); Gestagen-IUPs aHR 1,63 (1,46–1,82); mehrere Typen aHR bis 2,11 (1,97–2,25). BMI-Anpassung attenuierte, eliminierte aber nicht Assoziationen.</w:t>
      </w:r>
    </w:p>
    <w:p>
      <w:r>
        <w:rPr>
          <w:b/>
          <w:sz w:val="19"/>
        </w:rPr>
        <w:t xml:space="preserve">Übertragbarkeit: </w:t>
      </w:r>
      <w:r>
        <w:rPr>
          <w:sz w:val="19"/>
        </w:rPr>
        <w:t>Dänemark, GKV-ähnliche Finanzierung; zeigt Erstattungs-Realität bei off-label-Adipositas-Mittel: Sorge um Gewicht durch Verhütung treibt Semaglutid-Suche.</w:t>
      </w:r>
    </w:p>
    <w:p>
      <w:r>
        <w:rPr>
          <w:color w:val="5A7D3A"/>
          <w:sz w:val="18"/>
        </w:rPr>
        <w:t>https://pubmed.ncbi.nlm.nih.gov/42485041/</w:t>
      </w:r>
    </w:p>
    <w:p>
      <w:pPr>
        <w:pStyle w:val="Heading2"/>
      </w:pPr>
      <w:r>
        <w:t>Kardiovaskulär-renales-metabolisches Syndrom Stufe 4 verdoppelt bis vervierfacht Arthrose-Risiko, besonders bei jüngeren Personen</w:t>
      </w:r>
    </w:p>
    <w:p>
      <w:r>
        <w:rPr>
          <w:i/>
          <w:color w:val="666666"/>
          <w:sz w:val="18"/>
        </w:rPr>
        <w:t>Ma Z et al.  ·  Maturitas  ·  18.07.2026  ·  PMID 42470749</w:t>
      </w:r>
    </w:p>
    <w:p>
      <w:r>
        <w:t>Prospektive Kohortenstudie an 256.364 UK-Biobank-Teilnehmern ohne baseline-Arthrose zu Assoziation zwischen kardiovaskulär-renales-metabolisches (CKM) Syndrom-Stadien (0–4) und Inzidenz von Hüft-/Knie-Arthrose über 11 Jahre.</w:t>
      </w:r>
    </w:p>
    <w:p>
      <w:r>
        <w:rPr>
          <w:b/>
        </w:rPr>
        <w:t xml:space="preserve">Ergebnis: </w:t>
      </w:r>
      <w:r>
        <w:t>8.209 Hüft-, 12.729 Knie-Arthrose-Fälle. Stage 4 vs. Stage 0: Hüftarthrose HR 1,76 (1,58–1,95), Kniearthrose HR 2,67 (2,44–2,93). Stärker bei &lt;60 Jahren. Geschlechtsdifferenzen: Hüfte risikanter bei Männern, Knie bei Frauen. Genetische Hochrisiko + Stage 4: Hüfte HR 3,10 (2,60–3,70), Knie HR 4,00 (3,42–4,68). Additive Interaktion signifikant.</w:t>
      </w:r>
    </w:p>
    <w:p>
      <w:r>
        <w:rPr>
          <w:b/>
          <w:sz w:val="19"/>
        </w:rPr>
        <w:t xml:space="preserve">Übertragbarkeit: </w:t>
      </w:r>
      <w:r>
        <w:rPr>
          <w:sz w:val="19"/>
        </w:rPr>
        <w:t>UK Biobank, aber Arthrose-Definition und Metabolismus-Messung sind international standard; zeigt Langzeit-Funktionsverlust durch Adipositas-Syndrom – relevant für deutsche Versorgungsplanung älterer Patienten.</w:t>
      </w:r>
    </w:p>
    <w:p>
      <w:r>
        <w:rPr>
          <w:color w:val="5A7D3A"/>
          <w:sz w:val="18"/>
        </w:rPr>
        <w:t>https://pubmed.ncbi.nlm.nih.gov/42470749/</w:t>
      </w:r>
    </w:p>
    <w:p>
      <w:pPr>
        <w:pStyle w:val="Heading1"/>
      </w:pPr>
      <w:r>
        <w:t>Aufgenommen am 12.09.2026</w:t>
      </w:r>
    </w:p>
    <w:p>
      <w:pPr>
        <w:pStyle w:val="Heading2"/>
      </w:pPr>
      <w:r>
        <w:t>Strukturierte Schulungen für Adipositasbetreuende verbessern Fachkompetenz um 41%</w:t>
      </w:r>
    </w:p>
    <w:p>
      <w:r>
        <w:rPr>
          <w:i/>
          <w:color w:val="666666"/>
          <w:sz w:val="18"/>
        </w:rPr>
        <w:t>Wu R et al.  ·  Clin Obes  ·  Okt. 2026  ·  PMID 42728234</w:t>
      </w:r>
    </w:p>
    <w:p>
      <w:r>
        <w:t>Metaanalyse von 18 Studien (2020–2026) zu Effektivität strukturierter Weiterbildungsprogramme für Gesundheitsfachpersonen in Adipositasmanagement, gemessen an Praxiskompetenz und patientenrelevanten Ergebnissen.</w:t>
      </w:r>
    </w:p>
    <w:p>
      <w:r>
        <w:rPr>
          <w:b/>
        </w:rPr>
        <w:t xml:space="preserve">Ergebnis: </w:t>
      </w:r>
      <w:r>
        <w:t>Poolierte Analyse (7 Studien) zeigte signifikante Verbesserungen der Fachkompetenz (SMD=0,41; 95%-KI 0,12–0,70; p&lt;0,01). Programme ≥4 h erzeugten stärkere Effekte (SMD=0,68; 95%-KI 0,30–1,07; p&lt;0,01) als kürzere Interventionen. RCTs zeigten Effekt (SMD=0,53), Nicht-RCTs nicht. Persistentes Problem bleibt geringe Engagement-Rate in digital gestützten Angeboten.</w:t>
      </w:r>
    </w:p>
    <w:p>
      <w:r>
        <w:rPr>
          <w:b/>
          <w:sz w:val="19"/>
        </w:rPr>
        <w:t xml:space="preserve">Übertragbarkeit: </w:t>
      </w:r>
      <w:r>
        <w:rPr>
          <w:sz w:val="19"/>
        </w:rPr>
        <w:t>Deutschland: Fachkompetenz ist trainierbar; Länge und Intensität entscheidend – relevant für Aus- und Weiterbildung in Praxen und Kliniken.</w:t>
      </w:r>
    </w:p>
    <w:p>
      <w:r>
        <w:rPr>
          <w:color w:val="5A7D3A"/>
          <w:sz w:val="18"/>
        </w:rPr>
        <w:t>https://pubmed.ncbi.nlm.nih.gov/42728234/</w:t>
      </w:r>
    </w:p>
    <w:p>
      <w:pPr>
        <w:pStyle w:val="Heading2"/>
      </w:pPr>
      <w:r>
        <w:t>Höhere Adipositas erhöht Infektionssterblichkeit 2,5-fach – Mendelian-Randomization-Studie</w:t>
      </w:r>
    </w:p>
    <w:p>
      <w:r>
        <w:rPr>
          <w:i/>
          <w:color w:val="666666"/>
          <w:sz w:val="18"/>
        </w:rPr>
        <w:t>Lawal L et al.  ·  Int J Epidemiol  ·  18.08.2026  ·  PMID 42727090</w:t>
      </w:r>
    </w:p>
    <w:p>
      <w:r>
        <w:t>Mendelian-Randomization-Analyse bei 126.491 mexikanischen Erwachsenen (Alter 35–74 Jahre) über 20 Jahre Nachverfolgung zum Effekt verschiedener Adipositätsmaße auf infektionsassoziierte Mortalität.</w:t>
      </w:r>
    </w:p>
    <w:p>
      <w:r>
        <w:rPr>
          <w:b/>
        </w:rPr>
        <w:t xml:space="preserve">Ergebnis: </w:t>
      </w:r>
      <w:r>
        <w:t>2.592 infektionsbedingte Todesfälle; genotypisch vorhergesagte höhere Fettmasse-Prozentsatz assoziiert mit HR 2,54 (95%-KI 1,91–3,38) für Infektionstod; Fettmasse-Prozentsatz zeigte stärkere Assoziation als BMI oder Hüftumfang. Assoziation über sechs Infektionssubtypen konsistent. Ergebnis deutet auf kausalen Zusammenhang hin.</w:t>
      </w:r>
    </w:p>
    <w:p>
      <w:r>
        <w:rPr>
          <w:b/>
          <w:sz w:val="19"/>
        </w:rPr>
        <w:t xml:space="preserve">Übertragbarkeit: </w:t>
      </w:r>
      <w:r>
        <w:rPr>
          <w:sz w:val="19"/>
        </w:rPr>
        <w:t>Mexiko, aber universal relevant: Adipositas erhöht nicht nur cardiometabole, sondern auch Infektionsrisiko – Versorgungsargument für Gewichtsintervention.</w:t>
      </w:r>
    </w:p>
    <w:p>
      <w:r>
        <w:rPr>
          <w:color w:val="5A7D3A"/>
          <w:sz w:val="18"/>
        </w:rPr>
        <w:t>https://pubmed.ncbi.nlm.nih.gov/42727090/</w:t>
      </w:r>
    </w:p>
    <w:p>
      <w:pPr>
        <w:pStyle w:val="Heading2"/>
      </w:pPr>
      <w:r>
        <w:t>Seltene Adipositas-Gene: MC4R-Defekte – Pathwege und klinische Betreung definiert</w:t>
      </w:r>
    </w:p>
    <w:p>
      <w:r>
        <w:rPr>
          <w:i/>
          <w:color w:val="666666"/>
          <w:sz w:val="18"/>
        </w:rPr>
        <w:t>Argente J et al.  ·  Clin Obes  ·  Okt. 2026  ·  PMID 42723356</w:t>
      </w:r>
    </w:p>
    <w:p>
      <w:r>
        <w:t>Konsensus-Konferenz (IMPROVE 2025, Prag) von 161 Klinikern aus 19 Ländern zu monogenen Adipositasformen und Hyperphagie im MC4R-Pathway, mit Updates zu Diagnostik, natürlichem Verlauf und Therapie.</w:t>
      </w:r>
    </w:p>
    <w:p>
      <w:r>
        <w:rPr>
          <w:b/>
        </w:rPr>
        <w:t xml:space="preserve">Ergebnis: </w:t>
      </w:r>
      <w:r>
        <w:t>Zentrale Erkenntnisse: MC4R-Pathway-Defekte und Bardet-Biedl-Syndrom erfordern spezifische genetische Diagnostik; frühe Intervention und multidisziplinäre Betreuung (inkl. Verhaltensansätze und zielgerichtete Medikamente) verbessernn Lebensqualität; Patientenversorgung steht zentral. Praktische Modelle für spezialisierte Zentren beschrieben.</w:t>
      </w:r>
    </w:p>
    <w:p>
      <w:r>
        <w:rPr>
          <w:b/>
          <w:sz w:val="19"/>
        </w:rPr>
        <w:t xml:space="preserve">Übertragbarkeit: </w:t>
      </w:r>
      <w:r>
        <w:rPr>
          <w:sz w:val="19"/>
        </w:rPr>
        <w:t>Europa (Deutschland, Niederlande, Frankreich, UK vertreten): Seltene Formen erfordern Spezialisierung und Vernetzung – Implikation für Referralstrukturen.</w:t>
      </w:r>
    </w:p>
    <w:p>
      <w:r>
        <w:rPr>
          <w:color w:val="5A7D3A"/>
          <w:sz w:val="18"/>
        </w:rPr>
        <w:t>https://pubmed.ncbi.nlm.nih.gov/42723356/</w:t>
      </w:r>
    </w:p>
    <w:p>
      <w:pPr>
        <w:pStyle w:val="Heading2"/>
      </w:pPr>
      <w:r>
        <w:t>Adipositas vor Darmkrebs-Diagnose: Das 'Paradoxon' erklärt durch Tumorbedingte Gewichtsverluste</w:t>
      </w:r>
    </w:p>
    <w:p>
      <w:r>
        <w:rPr>
          <w:i/>
          <w:color w:val="666666"/>
          <w:sz w:val="18"/>
        </w:rPr>
        <w:t>Mandic M et al.  ·  JAMA Netw Open  ·  03.08.2026  ·  PMID 42599706</w:t>
      </w:r>
    </w:p>
    <w:p>
      <w:r>
        <w:t>Bevölkerungsbasierte Fall-Kontroll-Studie mit prospektiver Nachverfolgung (5521 Darmkrebspatienten aus Südwestdeutschland 2001–2016) zum Einfluss von BMI bei Diagnose und prädiagnostischem Gewichtsverlust auf Gesamtüberleben, Darmkrebsspezifisches Überleben und Rezidivfreiheit.</w:t>
      </w:r>
    </w:p>
    <w:p>
      <w:r>
        <w:rPr>
          <w:b/>
        </w:rPr>
        <w:t xml:space="preserve">Ergebnis: </w:t>
      </w:r>
      <w:r>
        <w:t>2.429 Todesfälle über 5,2 Jahre Median-Nachverfolgung; prädiagnostischer Gewichtsverlust &gt;10% mit HR 1,55 (95%-KI 1,39–1,72) für schlechteres Überleben assoziiert. Nach gegenseitiger Anpassung für BMI bei Diagnose und prädiagnostischen Gewichtswandel wurden vermeintliche Übergewichts-Schutzeffekte auf Null reduziert. Schlussfolgerung: Adipositas-Paradoxon erklärt durch okkulte Krebssymptomatik.</w:t>
      </w:r>
    </w:p>
    <w:p>
      <w:r>
        <w:rPr>
          <w:b/>
          <w:sz w:val="19"/>
        </w:rPr>
        <w:t xml:space="preserve">Übertragbarkeit: </w:t>
      </w:r>
      <w:r>
        <w:rPr>
          <w:sz w:val="19"/>
        </w:rPr>
        <w:t>Deutsche Klinikdaten, vergleichbare klinische Praxis; zeigt, dass BMI ohne Gewichtsverlauf-Kontext irreführend ist – wichtig für Stratifizierung.</w:t>
      </w:r>
    </w:p>
    <w:p>
      <w:r>
        <w:rPr>
          <w:color w:val="5A7D3A"/>
          <w:sz w:val="18"/>
        </w:rPr>
        <w:t>https://pubmed.ncbi.nlm.nih.gov/42599706/</w:t>
      </w:r>
    </w:p>
    <w:p>
      <w:pPr>
        <w:pStyle w:val="Heading2"/>
      </w:pPr>
      <w:r>
        <w:t>Endoskopische Magenplikation erreicht 14,75 % Gewichtsverlust in 6 Monaten – europäische Multicenter-Studie</w:t>
      </w:r>
    </w:p>
    <w:p>
      <w:r>
        <w:rPr>
          <w:i/>
          <w:color w:val="666666"/>
          <w:sz w:val="18"/>
        </w:rPr>
        <w:t>Turró Araú R et al.  ·  Obes Surg  ·  20.07.2026  ·  PMID 42474954</w:t>
      </w:r>
    </w:p>
    <w:p>
      <w:r>
        <w:t>Retrospektive Multicenter-Kohortenstudie (54 Patienten über 6 Zentren in Europa) zur technischen Reproduzierbarkeit, klinischen Wirksamkeit und Sicherheit der MEGA-Technik (modifizierte endoskopische Gastroplizierung mit 2 G-LIX-Devices) bei Adipositas.</w:t>
      </w:r>
    </w:p>
    <w:p>
      <w:r>
        <w:rPr>
          <w:b/>
        </w:rPr>
        <w:t xml:space="preserve">Ergebnis: </w:t>
      </w:r>
      <w:r>
        <w:t>Mittlerer Gewichtsverlust 14,75±6,24 % TBWL (total body weight loss) bzw. 56,17±33,75 % EBWL (excess body weight loss); 81,5 % der Patienten erreichten ≥10 % TBWL. Keine schweren unerwünschten Ereignisse. Keine signifikanten Unterschiede zwischen Zentren (p=0,406). Keine Korrelation Anzahl Nähte–Gewichtsverlust.</w:t>
      </w:r>
    </w:p>
    <w:p>
      <w:r>
        <w:rPr>
          <w:b/>
          <w:sz w:val="19"/>
        </w:rPr>
        <w:t xml:space="preserve">Übertragbarkeit: </w:t>
      </w:r>
      <w:r>
        <w:rPr>
          <w:sz w:val="19"/>
        </w:rPr>
        <w:t>Europa (Spanien, Italien, Niederlande, Österreich, Deutschland): Kostengünstige endoskopische Alternative zu Chirurgie; langzeitdaten fehlen noch.</w:t>
      </w:r>
    </w:p>
    <w:p>
      <w:r>
        <w:rPr>
          <w:color w:val="5A7D3A"/>
          <w:sz w:val="18"/>
        </w:rPr>
        <w:t>https://pubmed.ncbi.nlm.nih.gov/42474954/</w:t>
      </w:r>
    </w:p>
    <w:p>
      <w:pPr>
        <w:pStyle w:val="Heading2"/>
      </w:pPr>
      <w:r>
        <w:t>Cushing-Remission heilt metabolische Schäden nicht: Diabetes siebenfach häufiger nach 7 Jahren</w:t>
      </w:r>
    </w:p>
    <w:p>
      <w:r>
        <w:rPr>
          <w:i/>
          <w:color w:val="666666"/>
          <w:sz w:val="18"/>
        </w:rPr>
        <w:t>Rubinstein G et al.  ·  Diabetes Res Clin Pract  ·  13.07.2026  ·  PMID 42442551</w:t>
      </w:r>
    </w:p>
    <w:p>
      <w:r>
        <w:t>Longitudinale Kohortenstudie (99 Cushing-Patienten vs. 396 alters- und geschlechtsgematcht Kontrollen aus KORA) zur Persistenz metabolischer Störungen 7 Jahre nach biochemischer Remission vom Cushing-Syndrom.</w:t>
      </w:r>
    </w:p>
    <w:p>
      <w:r>
        <w:rPr>
          <w:b/>
        </w:rPr>
        <w:t xml:space="preserve">Ergebnis: </w:t>
      </w:r>
      <w:r>
        <w:t>Trotz langfristiger Verbesserung nach Remission: höhere Fettmasse (39% vs. 35%, p=0,0013), erhöhte Waist-to-Hip-Ratio (0,89 vs. 0,82, p&lt;0,0001), erhöhtes HbA1c (5,5% vs. 5,4%, p=0,0087), Diabetes 19% vs. 4% (p&lt;0,0001). Entzündungsmarker stark assoziiert – deuten auf anhaltende inflammatorische Pathologie hin.</w:t>
      </w:r>
    </w:p>
    <w:p>
      <w:r>
        <w:rPr>
          <w:b/>
          <w:sz w:val="19"/>
        </w:rPr>
        <w:t xml:space="preserve">Übertragbarkeit: </w:t>
      </w:r>
      <w:r>
        <w:rPr>
          <w:sz w:val="19"/>
        </w:rPr>
        <w:t>Deutschland: Deutsche LMU-München-Daten; zeigt, dass hormonelle Heilung Organschäden nicht umkehrt – Nachsorge und Metabolische Reha notwendig.</w:t>
      </w:r>
    </w:p>
    <w:p>
      <w:r>
        <w:rPr>
          <w:color w:val="5A7D3A"/>
          <w:sz w:val="18"/>
        </w:rPr>
        <w:t>https://pubmed.ncbi.nlm.nih.gov/42442551/</w:t>
      </w:r>
    </w:p>
    <w:p>
      <w:pPr>
        <w:pStyle w:val="Heading1"/>
      </w:pPr>
      <w:r>
        <w:t>Aufgenommen am 11.09.2026</w:t>
      </w:r>
    </w:p>
    <w:p>
      <w:pPr>
        <w:pStyle w:val="Heading2"/>
      </w:pPr>
      <w:r>
        <w:t>Adipositasprävention im Kindesalter: Strategische Lücken in spanischen Gesundheitsplänen</w:t>
      </w:r>
    </w:p>
    <w:p>
      <w:r>
        <w:rPr>
          <w:i/>
          <w:color w:val="666666"/>
          <w:sz w:val="18"/>
        </w:rPr>
        <w:t>Rondón Martínez E et al.  ·  Rev Esp Salud Publica  ·  09.09.2026  ·  PMID 42719940</w:t>
      </w:r>
    </w:p>
    <w:p>
      <w:r>
        <w:t>Eine Scoping Review untersuchte, wie die Adipositasprävention bei Kindern in spanischen nationalen und regionalen Gesundheitsplänen verankert ist.</w:t>
      </w:r>
    </w:p>
    <w:p>
      <w:r>
        <w:rPr>
          <w:b/>
        </w:rPr>
        <w:t xml:space="preserve">Ergebnis: </w:t>
      </w:r>
      <w:r>
        <w:t>Von 22 analysierten Plänen enthielten nur 9 regionale Ziele zur Adipositasprävention bei Kindern, davon nur eine quantifiziert; Programme und konkrete Aktivitäten waren in der Mehrzahl (n=8) nicht definiert. Die Umsetzung bleibt fragmentarisch und ohne messbare Vorgaben.</w:t>
      </w:r>
    </w:p>
    <w:p>
      <w:r>
        <w:rPr>
          <w:b/>
          <w:sz w:val="19"/>
        </w:rPr>
        <w:t xml:space="preserve">Übertragbarkeit: </w:t>
      </w:r>
      <w:r>
        <w:rPr>
          <w:sz w:val="19"/>
        </w:rPr>
        <w:t>Spanien, öffentliches Gesundheitssystem; Strukturlücken übertragbar auf deutschsprachige Länder.</w:t>
      </w:r>
    </w:p>
    <w:p>
      <w:r>
        <w:rPr>
          <w:color w:val="5A7D3A"/>
          <w:sz w:val="18"/>
        </w:rPr>
        <w:t>https://pubmed.ncbi.nlm.nih.gov/42719940/</w:t>
      </w:r>
    </w:p>
    <w:p>
      <w:pPr>
        <w:pStyle w:val="Heading2"/>
      </w:pPr>
      <w:r>
        <w:t>GLP-1-Agonisten nach Adipositaschirurgie bei unzureichendem Erfolg: Metaanalyse</w:t>
      </w:r>
    </w:p>
    <w:p>
      <w:r>
        <w:rPr>
          <w:i/>
          <w:color w:val="666666"/>
          <w:sz w:val="18"/>
        </w:rPr>
        <w:t>Santos-Pereira M et al.  ·  Front Endocrinol (Lausanne)  ·  26.08.2026  ·  PMID 42718598</w:t>
      </w:r>
    </w:p>
    <w:p>
      <w:r>
        <w:t>Eine systematische Übersicht und Metaanalyse (27 Studien, 19 in die Metaanalyse) untersuchte Wirksamkeit und Sicherheit von Liraglutid, Semaglutid und Tirzepatid bei Patienten, die ≥1 Jahr nach bariatrischen Eingriffen unzureichenden Gewichtsverlust oder Wiederzunahme aufwiesen.</w:t>
      </w:r>
    </w:p>
    <w:p>
      <w:r>
        <w:rPr>
          <w:b/>
        </w:rPr>
        <w:t xml:space="preserve">Ergebnis: </w:t>
      </w:r>
      <w:r>
        <w:t>Nach GLP-1-Agonisten-Therapie: Gewichtsverlust mit Liraglutid 9,22% (12 Monate) und Semaglutid 9,02% (12 Monate). Tirzepatid zeigte 4,23% zusätzlichen Gewichtsverlust gegenüber Semaglutid (6 Monate). Keine ernsthaften Nebenwirkungen; berichtete Effekte waren primär leichte gastrointestinale Symptome. Die substantielle Heterogenität der Studien erfordert Vorsicht bei der Interpretation.</w:t>
      </w:r>
    </w:p>
    <w:p>
      <w:r>
        <w:rPr>
          <w:b/>
          <w:sz w:val="19"/>
        </w:rPr>
        <w:t xml:space="preserve">Übertragbarkeit: </w:t>
      </w:r>
      <w:r>
        <w:rPr>
          <w:sz w:val="19"/>
        </w:rPr>
        <w:t>Portugal, Übersichtsarbeit mit internationalem Pool; GLP-1-Einsatz nach Chirurgie als Rescuetherapie transferierbar.</w:t>
      </w:r>
    </w:p>
    <w:p>
      <w:r>
        <w:rPr>
          <w:color w:val="5A7D3A"/>
          <w:sz w:val="18"/>
        </w:rPr>
        <w:t>https://pubmed.ncbi.nlm.nih.gov/42718598/</w:t>
      </w:r>
    </w:p>
    <w:p>
      <w:pPr>
        <w:pStyle w:val="Heading2"/>
      </w:pPr>
      <w:r>
        <w:t>Menstruationsfunktion und Fertilität nach metabolischer Adipositaschirurgie bei Frauen im reproduktiven Alter</w:t>
      </w:r>
    </w:p>
    <w:p>
      <w:r>
        <w:rPr>
          <w:i/>
          <w:color w:val="666666"/>
          <w:sz w:val="18"/>
        </w:rPr>
        <w:t>Whyte M et al.  ·  Obes Surg  ·  05.08.2026  ·  PMID 42554792</w:t>
      </w:r>
    </w:p>
    <w:p>
      <w:r>
        <w:t>Eine prospektive Kohortenstudie untersuchte Veränderungen in Menstruationsfunktion, Hormonprofilen und Fertilitätsparametern bei Frauen im reproduktiven Alter vor und nach Bypass oder Sleeve im Vergleich zu Kontrollen mit konservativer Gewichtsabnahme.</w:t>
      </w:r>
    </w:p>
    <w:p>
      <w:r>
        <w:rPr>
          <w:b/>
        </w:rPr>
        <w:t xml:space="preserve">Ergebnis: </w:t>
      </w:r>
      <w:r>
        <w:t>84 chirurgisch behandelte Frauen; 64-73% Excess-Weight-Loss bei 24 Monaten. Anti-Müller-Hormon sank (16,6 auf 16,0 pmol/L, p&lt;0,001); Sex-Hormon-Bindungs-Globulin stieg (30,6 auf 66,8 nmol/L, p&lt;0,001); freier Androgenindex sank (3,92 auf 1,84, p&lt;0,001). Unregelmäßige Menstruation und Hirsutismus nahmen ab. Polyzystische Ovarienstruktur reduzierte sich von 33% auf 10% (n=17). 20 Schwangerschaften traten auf, überwiegend 12-24 Monate postoperativ.</w:t>
      </w:r>
    </w:p>
    <w:p>
      <w:r>
        <w:rPr>
          <w:b/>
          <w:sz w:val="19"/>
        </w:rPr>
        <w:t xml:space="preserve">Übertragbarkeit: </w:t>
      </w:r>
      <w:r>
        <w:rPr>
          <w:sz w:val="19"/>
        </w:rPr>
        <w:t>Großbritannien, nationales Gesundheitssystem; Reproduktionsgesundheit als langfristiges Outcome über die Gewichtskurve hinaus.</w:t>
      </w:r>
    </w:p>
    <w:p>
      <w:r>
        <w:rPr>
          <w:color w:val="5A7D3A"/>
          <w:sz w:val="18"/>
        </w:rPr>
        <w:t>https://pubmed.ncbi.nlm.nih.gov/42554792/</w:t>
      </w:r>
    </w:p>
    <w:p>
      <w:pPr>
        <w:pStyle w:val="Heading2"/>
      </w:pPr>
      <w:r>
        <w:t>Proteinzufuhr und Sarkopenische Adipositas bei älteren Erwachsenen: EPIC-Norfolk-Kohorte</w:t>
      </w:r>
    </w:p>
    <w:p>
      <w:r>
        <w:rPr>
          <w:i/>
          <w:color w:val="666666"/>
          <w:sz w:val="18"/>
        </w:rPr>
        <w:t>Baabbad T et al.  ·  Public Health Nutr  ·  31.07.2026  ·  PMID 42535295</w:t>
      </w:r>
    </w:p>
    <w:p>
      <w:r>
        <w:t>Eine prospektive Analyse der EPIC-Norfolk-Kohorte untersuchte Assoziationen zwischen Proteinzufuhr (Gesamtmenge und Quelle) und der Prävalenz sarkopenischer Adipositas bei 14.816 Personen mittleren und höheren Alters.</w:t>
      </w:r>
    </w:p>
    <w:p>
      <w:r>
        <w:rPr>
          <w:b/>
        </w:rPr>
        <w:t xml:space="preserve">Ergebnis: </w:t>
      </w:r>
      <w:r>
        <w:t>Prävalenz sarkopenischer Adipositas: 8,9% Männer, 11,9% Frauen. Mediane Proteinzufuhr war signifikant niedriger bei sarkopenischer Adipositas (Gesamt: 0,80 vs. 1,04 g/kg KG/d, p&lt;0,001; tierisch: 0,51 vs. 0,66, p&lt;0,001; pflanzlich: 0,25 vs. 0,35, p&lt;0,001). Höhere Zufuhr war mit niedrigerem Risiko assoziiert (Gesamtprotein: OR 0,14 [95% CI 0,08-0,20]; tierisch: OR 0,58 [0,53-0,62]; pflanzlich: OR 0,46 [0,41-0,52], alle p&lt;0,001).</w:t>
      </w:r>
    </w:p>
    <w:p>
      <w:r>
        <w:rPr>
          <w:b/>
          <w:sz w:val="19"/>
        </w:rPr>
        <w:t xml:space="preserve">Übertragbarkeit: </w:t>
      </w:r>
      <w:r>
        <w:rPr>
          <w:sz w:val="19"/>
        </w:rPr>
        <w:t>Großbritannien, bevölkerungsgestützter Querschnitt; funktionelle Körperkomposition statt BMI als Zielgröße.</w:t>
      </w:r>
    </w:p>
    <w:p>
      <w:r>
        <w:rPr>
          <w:color w:val="5A7D3A"/>
          <w:sz w:val="18"/>
        </w:rPr>
        <w:t>https://pubmed.ncbi.nlm.nih.gov/42535295/</w:t>
      </w:r>
    </w:p>
    <w:p>
      <w:pPr>
        <w:pStyle w:val="Heading2"/>
      </w:pPr>
      <w:r>
        <w:t>Adipositaschirurgie zur Prävention kardiovaskulärer Ereignisse: BRAVE-Studie mit ersten Ergebnissen</w:t>
      </w:r>
    </w:p>
    <w:p>
      <w:r>
        <w:rPr>
          <w:i/>
          <w:color w:val="666666"/>
          <w:sz w:val="18"/>
        </w:rPr>
        <w:t>Wong JA et al.  ·  Am Heart J  ·  25.07.2026  ·  PMID 42501951</w:t>
      </w:r>
    </w:p>
    <w:p>
      <w:r>
        <w:t>Die BRAVE-Studie randomisiert Patienten mit Adipositas und etablierter kardiovaskulärer Erkrankung zwischen Adipositaschirurgie (Sleeve, RYGB, duodenaler Switch) und strukturierter medizinischer Gewichtsreduktion; Vanguard-Phase zeigt Machbarkeit.</w:t>
      </w:r>
    </w:p>
    <w:p>
      <w:r>
        <w:rPr>
          <w:b/>
        </w:rPr>
        <w:t xml:space="preserve">Ergebnis: </w:t>
      </w:r>
      <w:r>
        <w:t>Von 2.514 gescreenten Patienten wurden 200 randomisiert (Mittelalter 59,8 Jahre; 37% Frauen; mittlerer BMI 44 kg/m²). Kohorte trägt hohe kardiovaskuläre Last: 82% Hypertonie, 45% Diabetes, 44% koronare Herzkrankheit, 39% Herzinsuffizienz, 48% Vorhofflimmern. Rekrutierungsbarrieren wurden identifiziert und durch gezielte Schulung behoben.</w:t>
      </w:r>
    </w:p>
    <w:p>
      <w:r>
        <w:rPr>
          <w:b/>
          <w:sz w:val="19"/>
        </w:rPr>
        <w:t xml:space="preserve">Übertragbarkeit: </w:t>
      </w:r>
      <w:r>
        <w:rPr>
          <w:sz w:val="19"/>
        </w:rPr>
        <w:t>Kanada, Brasilien, Italien, Spanien; multinationales Design mit vergleichbaren Gesundheitssystemen.</w:t>
      </w:r>
    </w:p>
    <w:p>
      <w:r>
        <w:rPr>
          <w:color w:val="5A7D3A"/>
          <w:sz w:val="18"/>
        </w:rPr>
        <w:t>https://pubmed.ncbi.nlm.nih.gov/42501951/</w:t>
      </w:r>
    </w:p>
    <w:p>
      <w:pPr>
        <w:pStyle w:val="Heading2"/>
      </w:pPr>
      <w:r>
        <w:t>Kosteneffektivität endoskopischer Adipositastherapien gegenüber Chirurgie und Semaglutid: UK-Analyse</w:t>
      </w:r>
    </w:p>
    <w:p>
      <w:r>
        <w:rPr>
          <w:i/>
          <w:color w:val="666666"/>
          <w:sz w:val="18"/>
        </w:rPr>
        <w:t>Afentou N et al.  ·  Obes Surg  ·  22.07.2026  ·  PMID 42484827</w:t>
      </w:r>
    </w:p>
    <w:p>
      <w:r>
        <w:t>Eine gesundheitsökonomische Analyse mit Markov-Modellen verglich Kosteneffektivität endoskopischer Barrieremethoden (Sleeve-Gastroplastie, Magenballon) mit laparoskopischer Sleeve-Gastrektomie und Semaglutid über 5 Jahre aus UK-NHS-Perspektive.</w:t>
      </w:r>
    </w:p>
    <w:p>
      <w:r>
        <w:rPr>
          <w:b/>
        </w:rPr>
        <w:t xml:space="preserve">Ergebnis: </w:t>
      </w:r>
      <w:r>
        <w:t>Bei Adipositas Klasse II–III war LSG kosteneffektiv gegenüber ESG (£10.593/QALY). Bei Klasse I–II zeigte ESG marginale QALY-Vorteile gegenüber Semaglutid bei leicht höheren Kosten (ICER £7.267/QALY). Semaglutid war dominant gegenüber IGB (größerer Nutzen zu niedrigerem Preis). Sensitivitätsanalysen zeigten Abhängigkeit von Interventionskosten und Langzeit-Gewichtsverlauf.</w:t>
      </w:r>
    </w:p>
    <w:p>
      <w:r>
        <w:rPr>
          <w:b/>
          <w:sz w:val="19"/>
        </w:rPr>
        <w:t xml:space="preserve">Übertragbarkeit: </w:t>
      </w:r>
      <w:r>
        <w:rPr>
          <w:sz w:val="19"/>
        </w:rPr>
        <w:t>Großbritannien, NHS-Perspektive; vergleichbar mit deutschen Kostenübernahmebedingungen für Verfahren.</w:t>
      </w:r>
    </w:p>
    <w:p>
      <w:r>
        <w:rPr>
          <w:color w:val="5A7D3A"/>
          <w:sz w:val="18"/>
        </w:rPr>
        <w:t>https://pubmed.ncbi.nlm.nih.gov/42484827/</w:t>
      </w:r>
    </w:p>
    <w:p>
      <w:pPr>
        <w:pStyle w:val="Heading1"/>
      </w:pPr>
      <w:r>
        <w:t>Aufgenommen am 10.09.2026</w:t>
      </w:r>
    </w:p>
    <w:p>
      <w:pPr>
        <w:pStyle w:val="Heading2"/>
      </w:pPr>
      <w:r>
        <w:t>Kombiniertes Aerob- und Krafttraining senkt Blutzucker und Lipide bei Diabesity optimal</w:t>
      </w:r>
    </w:p>
    <w:p>
      <w:r>
        <w:rPr>
          <w:i/>
          <w:color w:val="666666"/>
          <w:sz w:val="18"/>
        </w:rPr>
        <w:t>Al-Mhanna SB et al.  ·  J Sports Sci Med  ·  01.09.2026  ·  PMID 42713583</w:t>
      </w:r>
    </w:p>
    <w:p>
      <w:r>
        <w:t>Netzwerk-Metaanalyse von 32 RCTs (n=1.519 Patienten mit Typ-2-Diabetes und Adipositas) zum Vergleich von Trainingsmodalitäten auf Stoffwechselparameter und Körperkomposition.</w:t>
      </w:r>
    </w:p>
    <w:p>
      <w:r>
        <w:rPr>
          <w:b/>
        </w:rPr>
        <w:t xml:space="preserve">Ergebnis: </w:t>
      </w:r>
      <w:r>
        <w:t>Kombiniertes Aerob- und Krafttraining zeigte beste Ergebnisse für BMI-Reduktion (MD −1,78; SUCRA 93%), Triglyzeride (TG MD −0,28; SUCRA 95%), Gesamt-Cholesterin (TC MD −0,36; SUCRA 94,2%) und HOMA-IR (MD −0,92; SUCRA 92,6%). HDL stieg am stärksten (MD +0,12; SUCRA 97,5%). Aerobtraining allein senkte Nüchternblutzucker besser (MD −0,89 mmol/L), erhöhte aber Körperfett und senkte fettfreie Masse stärker als Krafttraining.</w:t>
      </w:r>
    </w:p>
    <w:p>
      <w:r>
        <w:rPr>
          <w:b/>
          <w:sz w:val="19"/>
        </w:rPr>
        <w:t xml:space="preserve">Übertragbarkeit: </w:t>
      </w:r>
      <w:r>
        <w:rPr>
          <w:sz w:val="19"/>
        </w:rPr>
        <w:t>Systematische Evidenzsynthese internationale RCTs, Versorgungsrealität Deutschland vergleichbar</w:t>
      </w:r>
    </w:p>
    <w:p>
      <w:r>
        <w:rPr>
          <w:color w:val="5A7D3A"/>
          <w:sz w:val="18"/>
        </w:rPr>
        <w:t>https://pubmed.ncbi.nlm.nih.gov/42713583/</w:t>
      </w:r>
    </w:p>
    <w:p>
      <w:pPr>
        <w:pStyle w:val="Heading2"/>
      </w:pPr>
      <w:r>
        <w:t>Psychosoziale Faktoren beeinflussen Adipositas bei russischen Jugendlichen stärker als früher erwartet</w:t>
      </w:r>
    </w:p>
    <w:p>
      <w:r>
        <w:rPr>
          <w:i/>
          <w:color w:val="666666"/>
          <w:sz w:val="18"/>
        </w:rPr>
        <w:t>Khafizova AA et al.  ·  Am J Hum Biol  ·  Sept. 2026  ·  PMID 42669599</w:t>
      </w:r>
    </w:p>
    <w:p>
      <w:r>
        <w:t>Querschnittstudie russischer Hochschulstudierender (n=1.759, 17–25 Jahre) aus vier Städten zur Rolle von Sozioökonomie, Psyche und Umweltfaktoren auf BMI und zentrale Adipositas (Waist-to-Height-Ratio).</w:t>
      </w:r>
    </w:p>
    <w:p>
      <w:r>
        <w:rPr>
          <w:b/>
        </w:rPr>
        <w:t xml:space="preserve">Ergebnis: </w:t>
      </w:r>
      <w:r>
        <w:t>Angstsymptome waren in Moskau und Petrozavodsk mit Körpergewicht assoziiert; bei Männern aus Krasnodar zeigten sich Assoziationen mit mütterlicher Bildung und Familiengröße. Während makroökonomische Stabilität zunahm, schwächten sich sozioökonomische Effekte auf Anthropometrie ab, während psychosoziale Faktoren an Bedeutung gewannen (p&lt;0,05 für Trait-Angst).</w:t>
      </w:r>
    </w:p>
    <w:p>
      <w:r>
        <w:rPr>
          <w:b/>
          <w:sz w:val="19"/>
        </w:rPr>
        <w:t xml:space="preserve">Übertragbarkeit: </w:t>
      </w:r>
      <w:r>
        <w:rPr>
          <w:sz w:val="19"/>
        </w:rPr>
        <w:t>Russland, andere Sozialversicherung; psychosoziale Determinanten gelten über Systeme hinweg</w:t>
      </w:r>
    </w:p>
    <w:p>
      <w:r>
        <w:rPr>
          <w:color w:val="5A7D3A"/>
          <w:sz w:val="18"/>
        </w:rPr>
        <w:t>https://pubmed.ncbi.nlm.nih.gov/42669599/</w:t>
      </w:r>
    </w:p>
    <w:p>
      <w:pPr>
        <w:pStyle w:val="Heading2"/>
      </w:pPr>
      <w:r>
        <w:t>Sarkopenische Adipositas erhöht Typ-2-Diabetes-Risiko deutlich über Adipositas allein</w:t>
      </w:r>
    </w:p>
    <w:p>
      <w:r>
        <w:rPr>
          <w:i/>
          <w:color w:val="666666"/>
          <w:sz w:val="18"/>
        </w:rPr>
        <w:t>Guan Z et al.  ·  Diabetes Care  ·  01.09.2026  ·  PMID 42439362</w:t>
      </w:r>
    </w:p>
    <w:p>
      <w:r>
        <w:t>UK-Biobank-Kohortenstudie (n=479.607) zur Assoziation von sarkopenischer Adipositas (geringe Muskelkraft + niedriger Muskelmasseanteil + hoher Fettmasseanteil) mit Typ-2-Diabetes über medianen Follow-up von 14,2 Jahren.</w:t>
      </w:r>
    </w:p>
    <w:p>
      <w:r>
        <w:rPr>
          <w:b/>
        </w:rPr>
        <w:t xml:space="preserve">Ergebnis: </w:t>
      </w:r>
      <w:r>
        <w:t>Bei 32.948 Diabetes-Fällen zeigte sarkopenische Adipositas das höchste Risiko (HR 3,54; 95% KI 3,34–3,74), deutlich höher als Adipositas allein oder Sarcopenie allein. Transitionen zu sarkopenischer Adipositas (HR 2,90) und persistierende sarkopenische Adipositas (HR 3,07) erhöhten das Risiko erheblich.</w:t>
      </w:r>
    </w:p>
    <w:p>
      <w:r>
        <w:rPr>
          <w:b/>
          <w:sz w:val="19"/>
        </w:rPr>
        <w:t xml:space="preserve">Übertragbarkeit: </w:t>
      </w:r>
      <w:r>
        <w:rPr>
          <w:sz w:val="19"/>
        </w:rPr>
        <w:t>Britisches Gesundheitssystem, große Routinedatenbank mit Muskelkraftmessung</w:t>
      </w:r>
    </w:p>
    <w:p>
      <w:r>
        <w:rPr>
          <w:color w:val="5A7D3A"/>
          <w:sz w:val="18"/>
        </w:rPr>
        <w:t>https://pubmed.ncbi.nlm.nih.gov/42439362/</w:t>
      </w:r>
    </w:p>
    <w:p>
      <w:pPr>
        <w:pStyle w:val="Heading2"/>
      </w:pPr>
      <w:r>
        <w:t>Frühe Anastomosenlecks nach Adipositaschirurgie kosten pro Fall €40.000–€42.000</w:t>
      </w:r>
    </w:p>
    <w:p>
      <w:r>
        <w:rPr>
          <w:i/>
          <w:color w:val="666666"/>
          <w:sz w:val="18"/>
        </w:rPr>
        <w:t>Balibrea JM et al.  ·  Br J Surg  ·  02.07.2026  ·  PMID 42435065</w:t>
      </w:r>
    </w:p>
    <w:p>
      <w:r>
        <w:t>Spanische Kostenanalyse von Frühkomplikationen (lecks) nach laparoskopischer Sleeve-Gastrektomie (LSG, n=82 Fälle/Jahr) und Roux-en-Y-Bypass (RYGB, n=18 Fälle/Jahr) im nationalen Gesundheitssystem über 1 Jahr (Gesamtbudget €4,2 Mio.).</w:t>
      </w:r>
    </w:p>
    <w:p>
      <w:r>
        <w:rPr>
          <w:b/>
        </w:rPr>
        <w:t xml:space="preserve">Ergebnis: </w:t>
      </w:r>
      <w:r>
        <w:t>Durchschnittliche Kosten pro frühem Leak: LSG €42.285 (Spanne €13.358–€94.532), RYGB €40.971 (€13.110–€94.284). Gesamtbudgetauswirkung für beide Verfahren €4,2 Mio./Jahr, dominiert durch verlängerte Krankenhausaufenthalte und Interventionen. Sensitivitätsanalyse: €1,2–€7,2 Mio.</w:t>
      </w:r>
    </w:p>
    <w:p>
      <w:r>
        <w:rPr>
          <w:b/>
          <w:sz w:val="19"/>
        </w:rPr>
        <w:t xml:space="preserve">Übertragbarkeit: </w:t>
      </w:r>
      <w:r>
        <w:rPr>
          <w:sz w:val="19"/>
        </w:rPr>
        <w:t>Spanischer NHS, vergleichbare Dokumentation und Kostenstrukturen zu Deutschland</w:t>
      </w:r>
    </w:p>
    <w:p>
      <w:r>
        <w:rPr>
          <w:color w:val="5A7D3A"/>
          <w:sz w:val="18"/>
        </w:rPr>
        <w:t>https://pubmed.ncbi.nlm.nih.gov/42435065/</w:t>
      </w:r>
    </w:p>
    <w:p>
      <w:pPr>
        <w:pStyle w:val="Heading2"/>
      </w:pPr>
      <w:r>
        <w:t>Sozioökonomie und Therapieerfolg bei Adipositas im Kindesalter: Deutschland und Schweden</w:t>
      </w:r>
    </w:p>
    <w:p>
      <w:r>
        <w:rPr>
          <w:i/>
          <w:color w:val="666666"/>
          <w:sz w:val="18"/>
        </w:rPr>
        <w:t>Auzanneau M et al.  ·  PLoS Med  ·  09.07.2026  ·  PMID 42424383</w:t>
      </w:r>
    </w:p>
    <w:p>
      <w:r>
        <w:t>Zwei-Länder-Kohortenvergleich (n=31.293 Kinder mit mindestens 6 Monaten Verhaltenstherapie) zum Einfluss des sozioökonomischen Status (SES) auf die Gewichtsabnahme und Therapieabbruch in strukturierten Adipositas-Behandlungsprogrammen.</w:t>
      </w:r>
    </w:p>
    <w:p>
      <w:r>
        <w:rPr>
          <w:b/>
        </w:rPr>
        <w:t xml:space="preserve">Ergebnis: </w:t>
      </w:r>
      <w:r>
        <w:t>In Deutschland zeigte höherer SES bessere BMI-SDS-Reduktion nach 2 Jahren (−0,36 vs. −0,24 für höchste vs. niedrigste Quintile, Differenz −0,12; p&lt;0,001) und niedrigere Abbruchquote (OR 0,82; p&lt;0,001); in Schweden war SES für BMI-Reduktion nicht assoziiert (p=0,143), aber Remissionschancen waren in beiden Ländern mit höherem SES erhöht (Schweden RR 1,63; Deutschland RR 1,35; beide p&lt;0,001). Ungleichheit in Therapieergebnissen ist in Deutschland ausgeprägter.</w:t>
      </w:r>
    </w:p>
    <w:p>
      <w:r>
        <w:rPr>
          <w:b/>
          <w:sz w:val="19"/>
        </w:rPr>
        <w:t xml:space="preserve">Übertragbarkeit: </w:t>
      </w:r>
      <w:r>
        <w:rPr>
          <w:sz w:val="19"/>
        </w:rPr>
        <w:t>Deutschland und Schweden, vergleichbare Versicherungssysteme, strukturierte Adipositas-Programme</w:t>
      </w:r>
    </w:p>
    <w:p>
      <w:r>
        <w:rPr>
          <w:color w:val="5A7D3A"/>
          <w:sz w:val="18"/>
        </w:rPr>
        <w:t>https://pubmed.ncbi.nlm.nih.gov/42424383/</w:t>
      </w:r>
    </w:p>
    <w:p>
      <w:pPr>
        <w:pStyle w:val="Heading1"/>
      </w:pPr>
      <w:r>
        <w:t>Aufgenommen am 09.09.2026</w:t>
      </w:r>
    </w:p>
    <w:p>
      <w:pPr>
        <w:pStyle w:val="Heading2"/>
      </w:pPr>
      <w:r>
        <w:t>Übergewicht bei Kindern in Navarra rückläufig, Adipositas stabil</w:t>
      </w:r>
    </w:p>
    <w:p>
      <w:r>
        <w:rPr>
          <w:i/>
          <w:color w:val="666666"/>
          <w:sz w:val="18"/>
        </w:rPr>
        <w:t>Ciriza Barea E et al.  ·  Rev Esp Salud Publica  ·  04.09.2026  ·  PMID 42708817</w:t>
      </w:r>
    </w:p>
    <w:p>
      <w:r>
        <w:t>Bevölkerungsgestützte Überwachungsstudie zur Prävalenzentwicklung von Übergewicht und Adipositas bei Kindern und Jugendlichen in Nordspanien 2007–2023.</w:t>
      </w:r>
    </w:p>
    <w:p>
      <w:r>
        <w:rPr>
          <w:b/>
        </w:rPr>
        <w:t xml:space="preserve">Ergebnis: </w:t>
      </w:r>
      <w:r>
        <w:t>Übergewicht sank signifikant um über 5 Prozentpunkte in Jungen (21,8 % auf 16,5 % im Alter 6–9 Jahre) und weniger ausgeprägt in Mädchen (23 % auf 18,2 %). Adipositas blieb hingegen stabil bei etwa 10–12 % oder stieg (Mädchen 10–14 Jahre: 6,9 % auf 7,8 %). Die Befunde zeigen Divergenz zwischen Übergewichts- und Adipositas-Trend.</w:t>
      </w:r>
    </w:p>
    <w:p>
      <w:r>
        <w:rPr>
          <w:b/>
          <w:sz w:val="19"/>
        </w:rPr>
        <w:t xml:space="preserve">Übertragbarkeit: </w:t>
      </w:r>
      <w:r>
        <w:rPr>
          <w:sz w:val="19"/>
        </w:rPr>
        <w:t>Spanische Primärversorgungsdaten mit hoher Bevölkerungsabdeckung (93 %), ähnliche Prävention wie Deutschland.</w:t>
      </w:r>
    </w:p>
    <w:p>
      <w:r>
        <w:rPr>
          <w:color w:val="5A7D3A"/>
          <w:sz w:val="18"/>
        </w:rPr>
        <w:t>https://pubmed.ncbi.nlm.nih.gov/42708817/</w:t>
      </w:r>
    </w:p>
    <w:p>
      <w:pPr>
        <w:pStyle w:val="Heading2"/>
      </w:pPr>
      <w:r>
        <w:t>Kinderadipositas und Armut: Jungen und sozial Schwache stärker betroffen</w:t>
      </w:r>
    </w:p>
    <w:p>
      <w:r>
        <w:rPr>
          <w:i/>
          <w:color w:val="666666"/>
          <w:sz w:val="18"/>
        </w:rPr>
        <w:t>Pichiule-Castañeda M et al.  ·  Rev Esp Salud Publica  ·  07.09.2026  ·  PMID 42708243</w:t>
      </w:r>
    </w:p>
    <w:p>
      <w:r>
        <w:t>Longitudinale Kohortenstudie zu sozioökonomischen Determinanten der Adipositas bei 2.124 Kindern in Madrid, Messung alle 3 Jahre von Alter 4–6 bis 14 Jahren (2012–2024).</w:t>
      </w:r>
    </w:p>
    <w:p>
      <w:r>
        <w:rPr>
          <w:b/>
        </w:rPr>
        <w:t xml:space="preserve">Ergebnis: </w:t>
      </w:r>
      <w:r>
        <w:t>Gesamtadipositasprävalenz in mindestens einer Messung 20,1 % (95%-KI 18,4–21,8). Adipositas assoziiert mit männlichem Geschlecht (RPa 1,40; 95%-KI 1,17–1,68) und niedriger Familienwohlfahrt (RPa 1,36; 95%-KI 1,03–1,80). Sozioökonomische Unterschiede bestätigt und persistierend.</w:t>
      </w:r>
    </w:p>
    <w:p>
      <w:r>
        <w:rPr>
          <w:b/>
          <w:sz w:val="19"/>
        </w:rPr>
        <w:t xml:space="preserve">Übertragbarkeit: </w:t>
      </w:r>
      <w:r>
        <w:rPr>
          <w:sz w:val="19"/>
        </w:rPr>
        <w:t>Spanische Longitudinaldaten zur Ungleichheit; ähnliche Sozialsysteme wie Deutschland.</w:t>
      </w:r>
    </w:p>
    <w:p>
      <w:r>
        <w:rPr>
          <w:color w:val="5A7D3A"/>
          <w:sz w:val="18"/>
        </w:rPr>
        <w:t>https://pubmed.ncbi.nlm.nih.gov/42708243/</w:t>
      </w:r>
    </w:p>
    <w:p>
      <w:pPr>
        <w:pStyle w:val="Heading2"/>
      </w:pPr>
      <w:r>
        <w:t>Notfallkomplikationen nach Adipositaschirurgie in Not-Aufnahmezentren häufig und schwer</w:t>
      </w:r>
    </w:p>
    <w:p>
      <w:r>
        <w:rPr>
          <w:i/>
          <w:color w:val="666666"/>
          <w:sz w:val="18"/>
        </w:rPr>
        <w:t>Boșneagu RD et al.  ·  Chirurgia (Bucur)  ·  Juli 2026  ·  PMID 42703978</w:t>
      </w:r>
    </w:p>
    <w:p>
      <w:r>
        <w:t>Retrospektive deskriptive Fallsammlung: 45 Notfall- oder Halbnotfall-Vorstellungen nach Adipositaschirurgie (durchgeführt anderswo) an regionälem Zentrum ohne bariatrische Eigenkompetenz, März 2021–Mai 2025.</w:t>
      </w:r>
    </w:p>
    <w:p>
      <w:r>
        <w:rPr>
          <w:b/>
        </w:rPr>
        <w:t xml:space="preserve">Ergebnis: </w:t>
      </w:r>
      <w:r>
        <w:t>73 % Frauen, Median-BMI 36 kg/m², 84 % Sleeve-Gastrektomie. Spektrum: Gallenblasen-/Pankreas-Erkrankung 27 %, Fistel/Leck 16 %, Stenose 22 %, Obstruktion 16 %. 80 % invasive Behandlung, 20 % Intensivcare, 24 % schwerer Verlauf, 16 % High-Acuity-Definition, 1 Todesfall (2,2 %).</w:t>
      </w:r>
    </w:p>
    <w:p>
      <w:r>
        <w:rPr>
          <w:b/>
          <w:sz w:val="19"/>
        </w:rPr>
        <w:t xml:space="preserve">Übertragbarkeit: </w:t>
      </w:r>
      <w:r>
        <w:rPr>
          <w:sz w:val="19"/>
        </w:rPr>
        <w:t>Rumänische Sekundär-Datensammlung; zeigt Koordinationsmangel ähnlich Deutschland mit dezentralen Kliniken.</w:t>
      </w:r>
    </w:p>
    <w:p>
      <w:r>
        <w:rPr>
          <w:color w:val="5A7D3A"/>
          <w:sz w:val="18"/>
        </w:rPr>
        <w:t>https://pubmed.ncbi.nlm.nih.gov/42703978/</w:t>
      </w:r>
    </w:p>
    <w:p>
      <w:pPr>
        <w:pStyle w:val="Heading2"/>
      </w:pPr>
      <w:r>
        <w:t>Semaglutide reduziert Nierenkomplikationen bei kardio-metabolischer Erkrankung</w:t>
      </w:r>
    </w:p>
    <w:p>
      <w:r>
        <w:rPr>
          <w:i/>
          <w:color w:val="666666"/>
          <w:sz w:val="18"/>
        </w:rPr>
        <w:t>Mann JFE et al.  ·  Lancet Diabetes Endocrinol  ·  07.08.2026  ·  PMID 42567173</w:t>
      </w:r>
    </w:p>
    <w:p>
      <w:r>
        <w:t>Gepoolte Analyse von 3 Phase-3-RCTs (SELECT, FLOW, SOUL) mit N = 30.787 Teilnehmern zu Nieren-Outcomes unter Semaglutide vs. Placebo, Follow-up 39,5–47,5 Monate.</w:t>
      </w:r>
    </w:p>
    <w:p>
      <w:r>
        <w:rPr>
          <w:b/>
        </w:rPr>
        <w:t xml:space="preserve">Ergebnis: </w:t>
      </w:r>
      <w:r>
        <w:t>Semaglutide reduzierte primäre Nierenkompositum (≥50 % eGFR-Fall, Nierenversagen, nierenbezogener Tod oder kardiovaskulärer Tod): 973 vs. 1.134 Ereignisse; HR 0,84 (95%-KI 0,77–0,91). Nebenwirkungen insgesamt ähnlich oder numerisch niedriger mit Semaglutide.</w:t>
      </w:r>
    </w:p>
    <w:p>
      <w:r>
        <w:rPr>
          <w:b/>
          <w:sz w:val="19"/>
        </w:rPr>
        <w:t xml:space="preserve">Übertragbarkeit: </w:t>
      </w:r>
      <w:r>
        <w:rPr>
          <w:sz w:val="19"/>
        </w:rPr>
        <w:t>USA-getriebene Zulassungsstudie, aber Nierenschutz-Befund länderneutral; in Deutschland SGB-V-Ausschluss relevant.</w:t>
      </w:r>
    </w:p>
    <w:p>
      <w:r>
        <w:rPr>
          <w:color w:val="5A7D3A"/>
          <w:sz w:val="18"/>
        </w:rPr>
        <w:t>https://pubmed.ncbi.nlm.nih.gov/42567173/</w:t>
      </w:r>
    </w:p>
    <w:p>
      <w:pPr>
        <w:pStyle w:val="Heading2"/>
      </w:pPr>
      <w:r>
        <w:t>Adipositas-induzierte Indizes vorhersagen Multimorbidität kardio-renal-metabolisch besser als BMI allein</w:t>
      </w:r>
    </w:p>
    <w:p>
      <w:r>
        <w:rPr>
          <w:i/>
          <w:color w:val="666666"/>
          <w:sz w:val="18"/>
        </w:rPr>
        <w:t>Chen Q et al.  ·  Diabetes Res Clin Pract  ·  01.08.2026  ·  PMID 42542252</w:t>
      </w:r>
    </w:p>
    <w:p>
      <w:r>
        <w:t>Retrospektive Kohortenanalysе aus UK Biobank (N = 374.513) und CHARLS (China, N = 6.401) zu C-reaktives-Protein-Triglyzerid-Glukose-Index (CTI) und 5 Adipositas-Derivaten für Vorhersage kardio-renal-metabolischer Multimorbidität.</w:t>
      </w:r>
    </w:p>
    <w:p>
      <w:r>
        <w:rPr>
          <w:b/>
        </w:rPr>
        <w:t xml:space="preserve">Ergebnis: </w:t>
      </w:r>
      <w:r>
        <w:t>Über 15,98 Jahre folgten 13.315 CRMM-Fälle. CTI-WC zeigte stärkste Assoziation (HR 1,974, 95%-KI 1,943–2,007), gefolgt von CTI-WHtR (HR 1,919, 95%-KI 1,890–1,950). NRI 21,16–23,93 %, IDI 1,05–1,51 %, ΔC-Index 0,029–0,038 – Verbesserung der Risikostratifikation über klassische Maße hinaus.</w:t>
      </w:r>
    </w:p>
    <w:p>
      <w:r>
        <w:rPr>
          <w:b/>
          <w:sz w:val="19"/>
        </w:rPr>
        <w:t xml:space="preserve">Übertragbarkeit: </w:t>
      </w:r>
      <w:r>
        <w:rPr>
          <w:sz w:val="19"/>
        </w:rPr>
        <w:t>UK Biobank (hohe Transferenz) mit Validierung in China; Adipositas-Phänotypisierung für deutsche Risikovorhersage relevant.</w:t>
      </w:r>
    </w:p>
    <w:p>
      <w:r>
        <w:rPr>
          <w:color w:val="5A7D3A"/>
          <w:sz w:val="18"/>
        </w:rPr>
        <w:t>https://pubmed.ncbi.nlm.nih.gov/42542252/</w:t>
      </w:r>
    </w:p>
    <w:p>
      <w:pPr>
        <w:pStyle w:val="Heading2"/>
      </w:pPr>
      <w:r>
        <w:t>Beinmuskulatur schützt vor Diabetes, Bauchfett erhöht Risiko – Geschlechtsspezifische Unterschiede</w:t>
      </w:r>
    </w:p>
    <w:p>
      <w:r>
        <w:rPr>
          <w:i/>
          <w:color w:val="666666"/>
          <w:sz w:val="18"/>
        </w:rPr>
        <w:t>Ma Y et al.  ·  Diabetes  ·  01.09.2026  ·  PMID 42467557</w:t>
      </w:r>
    </w:p>
    <w:p>
      <w:r>
        <w:t>Querschnitts- und prospektive Kohortenstudie an 258.500 UK-Biobank-Teilnehmern; Körperkompositions-Muster aus 28 anthropometrischen und bildgebenden Merkmalen mittels Hauptkomponentenanalyse.</w:t>
      </w:r>
    </w:p>
    <w:p>
      <w:r>
        <w:rPr>
          <w:b/>
        </w:rPr>
        <w:t xml:space="preserve">Ergebnis: </w:t>
      </w:r>
      <w:r>
        <w:t>7 interpretierbare Muster identifiziert. Generalisierte Adiposität erhöhte T2D-Risiko (Männer HR 1,73, 95%-KI 1,33–2,24; Frauen HR 2,21, 95%-KI 1,55–3,16). Bein-dominante Magermasse senkte Risiko (Männer HR 0,57, 95%-KI 0,48–0,68; Frauen HR 0,50, 95%-KI 0,40–0,63). Zentrale Magermasse zeigte inverse Assoziation vor allem bei Frauen.</w:t>
      </w:r>
    </w:p>
    <w:p>
      <w:r>
        <w:rPr>
          <w:b/>
          <w:sz w:val="19"/>
        </w:rPr>
        <w:t xml:space="preserve">Übertragbarkeit: </w:t>
      </w:r>
      <w:r>
        <w:rPr>
          <w:sz w:val="19"/>
        </w:rPr>
        <w:t>UK Biobank mit objektivem Imaging; Adipositäts-Phänotypisierung übertragbar auf deutsche Kohorten.</w:t>
      </w:r>
    </w:p>
    <w:p>
      <w:r>
        <w:rPr>
          <w:color w:val="5A7D3A"/>
          <w:sz w:val="18"/>
        </w:rPr>
        <w:t>https://pubmed.ncbi.nlm.nih.gov/42467557/</w:t>
      </w:r>
    </w:p>
    <w:p>
      <w:pPr>
        <w:pStyle w:val="Heading2"/>
      </w:pPr>
      <w:r>
        <w:t>Postbariatrische Impulskontrolle durch tDCS und psychosoziale Nachsorge: Pilot mit moderaten Effekten</w:t>
      </w:r>
    </w:p>
    <w:p>
      <w:r>
        <w:rPr>
          <w:i/>
          <w:color w:val="666666"/>
          <w:sz w:val="18"/>
        </w:rPr>
        <w:t>Rösch SA et al.  ·  Obes Surg  ·  15.07.2026  ·  PMID 42455493</w:t>
      </w:r>
    </w:p>
    <w:p>
      <w:r>
        <w:t>Randomisierte Pilotstudie (n = 19) zu Transkranieller Gleichstrom-Stimulation (tDCS) über rechts-dorsolateralem Präfrontalkortex plus Inhibitionstraining und psychosozialen Gruppen, 4 Wochen und 3 Monate nach Adipositaschirurgie.</w:t>
      </w:r>
    </w:p>
    <w:p>
      <w:r>
        <w:rPr>
          <w:b/>
        </w:rPr>
        <w:t xml:space="preserve">Ergebnis: </w:t>
      </w:r>
      <w:r>
        <w:t>Akzeptanz 67–80 %, Zufriedenheit M &gt; 4,38, Nebenwirkungen minimal (M = 1,46/5). Beide Gruppen zeigten moderate Verbesserungen in Essverhalten und Impulskontrolle, Hungergefühl, Lebensqualität, BMI und endokrinen Markern. Unterschied verum vs. sham unklar.</w:t>
      </w:r>
    </w:p>
    <w:p>
      <w:r>
        <w:rPr>
          <w:b/>
          <w:sz w:val="19"/>
        </w:rPr>
        <w:t xml:space="preserve">Übertragbarkeit: </w:t>
      </w:r>
      <w:r>
        <w:rPr>
          <w:sz w:val="19"/>
        </w:rPr>
        <w:t>Deutsche Zentren beteiligt; Machbarkeitsstudie mit zu kleiner Stichprobe für Effektivitätsschluss.</w:t>
      </w:r>
    </w:p>
    <w:p>
      <w:r>
        <w:rPr>
          <w:color w:val="5A7D3A"/>
          <w:sz w:val="18"/>
        </w:rPr>
        <w:t>https://pubmed.ncbi.nlm.nih.gov/42455493/</w:t>
      </w:r>
    </w:p>
    <w:p>
      <w:pPr>
        <w:pStyle w:val="Heading1"/>
      </w:pPr>
      <w:r>
        <w:t>Aufgenommen am 08.09.2026</w:t>
      </w:r>
    </w:p>
    <w:p>
      <w:pPr>
        <w:pStyle w:val="Heading2"/>
      </w:pPr>
      <w:r>
        <w:t>EASO-Rahmen: Morbidität statt BMI allein sagt Herzinsuffizienzrisiko voraus</w:t>
      </w:r>
    </w:p>
    <w:p>
      <w:r>
        <w:rPr>
          <w:i/>
          <w:color w:val="666666"/>
          <w:sz w:val="18"/>
        </w:rPr>
        <w:t>Tang L et al.  ·  Diabetes Metab Res Rev  ·  Sept. 2026  ·  PMID 42704620</w:t>
      </w:r>
    </w:p>
    <w:p>
      <w:r>
        <w:t>UK-Biobank-Analyse (449.550 Teilnehmende, 15,5 Jahre Follow-up) zur Frage, ob das neue EASO-Adipositas-Framework mit Morbidität bessere Risikostratifizierung für Herzinsuffizienz liefert als BMI allein.</w:t>
      </w:r>
    </w:p>
    <w:p>
      <w:r>
        <w:rPr>
          <w:b/>
        </w:rPr>
        <w:t xml:space="preserve">Ergebnis: </w:t>
      </w:r>
      <w:r>
        <w:t>Das EASO-Framework reclassifizierte 15,6 % der Übergewichtigen als adipös (Prävalenz 24,5 % → 40,1 %). Entscheidend: Übergewicht ohne Morbidität (WHtR &lt;0,5 und keine Begleitererkrankung) zeigte NIEDRIGES Risiko (HR 0,84 [0,80–0,89]), während Morbidität – nicht der BMI-Wert – das Risiko trieb. Übergewicht mit Morbidität: HR 1,32 [1,25–1,39]; BMI ≥30: HR 1,62 [1,53–1,71]. Morbidität erklärte die Risikozunahme über alle Gewichtskategorien hinweg.</w:t>
      </w:r>
    </w:p>
    <w:p>
      <w:r>
        <w:rPr>
          <w:b/>
          <w:sz w:val="19"/>
        </w:rPr>
        <w:t xml:space="preserve">Übertragbarkeit: </w:t>
      </w:r>
      <w:r>
        <w:rPr>
          <w:sz w:val="19"/>
        </w:rPr>
        <w:t>UK Biobank (generalisierbar auf europäische Systeme), Framework betont Funktionsstatus statt Kilogramm.</w:t>
      </w:r>
    </w:p>
    <w:p>
      <w:r>
        <w:rPr>
          <w:color w:val="5A7D3A"/>
          <w:sz w:val="18"/>
        </w:rPr>
        <w:t>https://pubmed.ncbi.nlm.nih.gov/42704620/</w:t>
      </w:r>
    </w:p>
    <w:p>
      <w:pPr>
        <w:pStyle w:val="Heading2"/>
      </w:pPr>
      <w:r>
        <w:t>Inflammations-Metabolismus-Adipositas-Index sagt Herzinsuffizienz stufenweise voraus, Effekt auf Stage 3–4 stärkst</w:t>
      </w:r>
    </w:p>
    <w:p>
      <w:r>
        <w:rPr>
          <w:i/>
          <w:color w:val="666666"/>
          <w:sz w:val="18"/>
        </w:rPr>
        <w:t>Dai F et al.  ·  Cardiovasc Diabetol  ·  26.07.2026  ·  PMID 42693449</w:t>
      </w:r>
    </w:p>
    <w:p>
      <w:r>
        <w:t>English Longitudinal Study of Ageing (1.946 ≥50-Jährige, 12 Jahre Follow-up) zu Frage, ob ein Composite-Index aus CRP, Triglycerid-Glucose-Index und Waist-to-Height-Ratio (CTGW) longitudinal Herzinsuffizienz besser vorhersagt als Einzelmarker.</w:t>
      </w:r>
    </w:p>
    <w:p>
      <w:r>
        <w:rPr>
          <w:b/>
        </w:rPr>
        <w:t xml:space="preserve">Ergebnis: </w:t>
      </w:r>
      <w:r>
        <w:t>113 Herzinsuffizienz-Fälle (5,8 %). Drei Trajektorien: low-stable (n=697), moderate-metabolic (n=943), high-inflammatory (n=306). High-inflammatory: HR 2,69 [1,46–4,93]; moderate-metabolic: HR 1,96 [1,17–3,29]. Kumulative Belastung (höchstes Quartil): HR 2,35 [1,31–4,24]. Nicht-linearer Dosis-Effekt (Schwellenwert ≈8,2). Effekt-Modifikation durch CKM-Stage: Stärkste Assoziation in Stage 3–4 (HR 2,37 [1,24–4,53]). Jede SD-Zunahme: 19 % Risikoanstieg (HR 1,19 [1,04–1,36]).</w:t>
      </w:r>
    </w:p>
    <w:p>
      <w:r>
        <w:rPr>
          <w:b/>
          <w:sz w:val="19"/>
        </w:rPr>
        <w:t xml:space="preserve">Übertragbarkeit: </w:t>
      </w:r>
      <w:r>
        <w:rPr>
          <w:sz w:val="19"/>
        </w:rPr>
        <w:t>Britische Kohortendaten, Messung von Entzündung und Metabolismus über alle Gewichtskategorien hinweg.</w:t>
      </w:r>
    </w:p>
    <w:p>
      <w:r>
        <w:rPr>
          <w:color w:val="5A7D3A"/>
          <w:sz w:val="18"/>
        </w:rPr>
        <w:t>https://pubmed.ncbi.nlm.nih.gov/42693449/</w:t>
      </w:r>
    </w:p>
    <w:p>
      <w:pPr>
        <w:pStyle w:val="Heading2"/>
      </w:pPr>
      <w:r>
        <w:t>Schlafstörungen und Adipositas-Inzidenz bei postmenopausalen Frauen: U-förmig für Dauer, linear für Störung</w:t>
      </w:r>
    </w:p>
    <w:p>
      <w:r>
        <w:rPr>
          <w:i/>
          <w:color w:val="666666"/>
          <w:sz w:val="18"/>
        </w:rPr>
        <w:t>Zhu M et al.  ·  Front Endocrinol (Lausanne)  ·  17.08.2026  ·  PMID 42676488</w:t>
      </w:r>
    </w:p>
    <w:p>
      <w:r>
        <w:t>UK Biobank (68.419 nicht-adipöse postmenopausale Frauen, 13,33 Jahre Follow-up) zur Frage, ob multidimensionale Schlafmuster (Dauer, Insomnie, Chronotyp, Schnarchen, Tagesschläfrigkeit) die Adipositas-Inzidenz vorhersagen.</w:t>
      </w:r>
    </w:p>
    <w:p>
      <w:r>
        <w:rPr>
          <w:b/>
        </w:rPr>
        <w:t xml:space="preserve">Ergebnis: </w:t>
      </w:r>
      <w:r>
        <w:t>1.146 Adipositas-Fälle dokumentiert. Schlafmuster und Inzidenz: Kurz-Schlaf (≤6 h): HR 1,214; Lang-Schlaf (≥10 h): HR 1,654; häufige Insomnie: HR 1,320; Abend-Chronotyp: HR 1,224; Schnarchen: HR 1,234. U-förmige Beziehung der Schlafdauer zur Adipositas. Explorative indirekte Effekte über Inflammation und Lipide waren schwach. Keine signifikante Modifizierung durch Alter, Geschlecht, BMI-Ausgangswert.</w:t>
      </w:r>
    </w:p>
    <w:p>
      <w:r>
        <w:rPr>
          <w:b/>
          <w:sz w:val="19"/>
        </w:rPr>
        <w:t xml:space="preserve">Übertragbarkeit: </w:t>
      </w:r>
      <w:r>
        <w:rPr>
          <w:sz w:val="19"/>
        </w:rPr>
        <w:t>UK Biobank, Verhältnisse auf populationsebene; gezielte Schlaf-Intervention verdient Test.</w:t>
      </w:r>
    </w:p>
    <w:p>
      <w:r>
        <w:rPr>
          <w:color w:val="5A7D3A"/>
          <w:sz w:val="18"/>
        </w:rPr>
        <w:t>https://pubmed.ncbi.nlm.nih.gov/42676488/</w:t>
      </w:r>
    </w:p>
    <w:p>
      <w:pPr>
        <w:pStyle w:val="Heading2"/>
      </w:pPr>
      <w:r>
        <w:t>Neue Adipositas-Definitionen erhöhen Diagnose-Prävalenz, aber nur Lancet-Kriterien sagen Folgeerkrankungen voraus</w:t>
      </w:r>
    </w:p>
    <w:p>
      <w:r>
        <w:rPr>
          <w:i/>
          <w:color w:val="666666"/>
          <w:sz w:val="18"/>
        </w:rPr>
        <w:t>Qiao X et al.  ·  Diabetes Res Clin Pract  ·  25.08.2026  ·  PMID 42641806</w:t>
      </w:r>
    </w:p>
    <w:p>
      <w:r>
        <w:t>UK Biobank (498.353 Teilnehmende) zum Vergleich von BMI-basierten, EASO- und Lancet-Adipositas-Definitionen hinsichtlich Prävalenz und Vorhersagekraft für Typ-2-Diabetes, kardiovaskuläre Ereignisse, Nierenversagen und Mortalität.</w:t>
      </w:r>
    </w:p>
    <w:p>
      <w:r>
        <w:rPr>
          <w:b/>
        </w:rPr>
        <w:t xml:space="preserve">Ergebnis: </w:t>
      </w:r>
      <w:r>
        <w:t>EASO identifizierte 29,6 %, Lancet-Kriterien 63,4 % als adipös (vs. 24,8 % WHO-BMI). Unter Lancet-Kriterien diagnostizierte "klinische Adipositas" zeigte höchstes Risiko: Typ-2-Diabetes HR 12,33 [11,74–12,96], kardiovaskuläre Ereignisse HR 4,02 [3,89–4,16], Nierenversagen HR 7,13 [6,11–8,33], Mortalität HR 3,07 [2,99–3,15]. Übergewicht nach EASO oder Lancet war teilweise protektiv. Ethnische Unterschiede: Asien zeigten höhere Prevalenzen.</w:t>
      </w:r>
    </w:p>
    <w:p>
      <w:r>
        <w:rPr>
          <w:b/>
          <w:sz w:val="19"/>
        </w:rPr>
        <w:t xml:space="preserve">Übertragbarkeit: </w:t>
      </w:r>
      <w:r>
        <w:rPr>
          <w:sz w:val="19"/>
        </w:rPr>
        <w:t>UK Biobank, aber Framework-Wahl bestimmt Risikostratifizierung und Behandlungsindikation unmittelbar.</w:t>
      </w:r>
    </w:p>
    <w:p>
      <w:r>
        <w:rPr>
          <w:color w:val="5A7D3A"/>
          <w:sz w:val="18"/>
        </w:rPr>
        <w:t>https://pubmed.ncbi.nlm.nih.gov/42641806/</w:t>
      </w:r>
    </w:p>
    <w:p>
      <w:pPr>
        <w:pStyle w:val="Heading2"/>
      </w:pPr>
      <w:r>
        <w:t>Ernährungswissen allein reicht nicht: Verhältnisse (Umwelt, Fertigkeiten) bestimmen Essverhalten bei adipösen Jugendlichen</w:t>
      </w:r>
    </w:p>
    <w:p>
      <w:r>
        <w:rPr>
          <w:i/>
          <w:color w:val="666666"/>
          <w:sz w:val="18"/>
        </w:rPr>
        <w:t>Wawrzyniak A et al.  ·  Nutrients  ·  13.07.2026  ·  PMID 42514356</w:t>
      </w:r>
    </w:p>
    <w:p>
      <w:r>
        <w:t>Querschnittstudie an 1.440 polnischen Schülern (10–18 Jahre) zur Frage, wie Ernährungswissen (NRK) und -praxis (NRP) nach BMI-Status differieren und welche Faktoren diese Kluft erklären.</w:t>
      </w:r>
    </w:p>
    <w:p>
      <w:r>
        <w:rPr>
          <w:b/>
        </w:rPr>
        <w:t xml:space="preserve">Ergebnis: </w:t>
      </w:r>
      <w:r>
        <w:t>Adipöse Schüler zeigten signifikant niedriges Wissen (NRK 46 % vs. Normalgewicht 52–53 %, p&lt;0,05) und Praxis (NRP 30 % vs. 33–34 %). Hohes Wissen assoziiert mit: älterem Alter, weiblichem Geschlecht, urbaner Lebensort (bei Übergewicht/Adipositas), höherer mütterlicher Bildung (bei Normal-/Untergewicht). Bessere Praxis assoziiert mit höherem Wissen PLUS höherer körperlicher Aktivität UND ländlicher/kleinstädtischer Umgebung (protektiv für Normalgewicht). Schlussfolgerung: Wissen ist notwendig, aber nicht ausreichend; praktische Fertigkeiten und Umweltfaktoren spielen entscheidende Rolle.</w:t>
      </w:r>
    </w:p>
    <w:p>
      <w:r>
        <w:rPr>
          <w:b/>
          <w:sz w:val="19"/>
        </w:rPr>
        <w:t xml:space="preserve">Übertragbarkeit: </w:t>
      </w:r>
      <w:r>
        <w:rPr>
          <w:sz w:val="19"/>
        </w:rPr>
        <w:t>Polen, aber Befunde auf deutsches Schulsystem übertragbar (Unterschicht-Gradienten, Umwelteinflüsse).</w:t>
      </w:r>
    </w:p>
    <w:p>
      <w:r>
        <w:rPr>
          <w:color w:val="5A7D3A"/>
          <w:sz w:val="18"/>
        </w:rPr>
        <w:t>https://pubmed.ncbi.nlm.nih.gov/42514356/</w:t>
      </w:r>
    </w:p>
    <w:p>
      <w:pPr>
        <w:pStyle w:val="Heading2"/>
      </w:pPr>
      <w:r>
        <w:t>Alltags-Bewegungsmuster mediieren 37–49 % der Adipositas-Mortalitäts-Assoziation; optimale Zusammensetzung für Frauen und Männer unterschiedlich</w:t>
      </w:r>
    </w:p>
    <w:p>
      <w:r>
        <w:rPr>
          <w:i/>
          <w:color w:val="666666"/>
          <w:sz w:val="18"/>
        </w:rPr>
        <w:t>Huang Y et al.  ·  J Sports Sci  ·  21.07.2026  ·  PMID 42482328</w:t>
      </w:r>
    </w:p>
    <w:p>
      <w:r>
        <w:t>UK Biobank (90.289 Teilnehmende, 7-Tage-Wrist-Beschleunigungsmessung) zur Frage, wie 24-Stunden-Bewegungsmuster (leichte Aktivität, moderate-vigorous, Stillzeit, Schlaf) unter dem EASO-Adipositas-Framework die Mortalität mediieren und welche Zeitverteilung optimal ist.</w:t>
      </w:r>
    </w:p>
    <w:p>
      <w:r>
        <w:rPr>
          <w:b/>
        </w:rPr>
        <w:t xml:space="preserve">Ergebnis: </w:t>
      </w:r>
      <w:r>
        <w:t>Kompositionelle Mediation: 37,7–49,0 % der Adipositas-Mortalitäts-Assoziation über Bewegung. MVPA trug am stärksten bei. Geschlechtsspezifische Effekte: Männer 59,2 % mediert (43,0 % via MVPA), Frauen 38,6 % (20,9 % via MVPA). Optimale tägliche Zusammensetzung: Frauen 1 h MVPA + 7 h leichte PA + 7 h Stillzeit + 9 h Schlaf; Männer 1,5 h MVPA + 7 h + 7 h + 8,5 h. Isotemporale Substitution: Ersetzen leichter durch moderate Aktivität senkt Mortalität progressiv.</w:t>
      </w:r>
    </w:p>
    <w:p>
      <w:r>
        <w:rPr>
          <w:b/>
          <w:sz w:val="19"/>
        </w:rPr>
        <w:t xml:space="preserve">Übertragbarkeit: </w:t>
      </w:r>
      <w:r>
        <w:rPr>
          <w:sz w:val="19"/>
        </w:rPr>
        <w:t>UK Biobank, objektivierte Bewegungsdaten; Empfehlungen sind geschlechtsspezifisch und praktisch umsetzbar.</w:t>
      </w:r>
    </w:p>
    <w:p>
      <w:r>
        <w:rPr>
          <w:color w:val="5A7D3A"/>
          <w:sz w:val="18"/>
        </w:rPr>
        <w:t>https://pubmed.ncbi.nlm.nih.gov/42482328/</w:t>
      </w:r>
    </w:p>
    <w:p>
      <w:pPr>
        <w:pStyle w:val="Heading1"/>
      </w:pPr>
      <w:r>
        <w:t>Aufgenommen am 07.09.2026</w:t>
      </w:r>
    </w:p>
    <w:p>
      <w:pPr>
        <w:pStyle w:val="Heading2"/>
      </w:pPr>
      <w:r>
        <w:t>Bariatrische Chirurgie reduziert kardiovaskuläre Ereignisse stärker als GLP-1-Agonisten</w:t>
      </w:r>
    </w:p>
    <w:p>
      <w:r>
        <w:rPr>
          <w:i/>
          <w:color w:val="666666"/>
          <w:sz w:val="18"/>
        </w:rPr>
        <w:t>Shirmohammadi E et al.  ·  Endocrinol Diabetes Metab  ·  Sept. 2026  ·  PMID 42700367</w:t>
      </w:r>
    </w:p>
    <w:p>
      <w:r>
        <w:t>Systematischer Review und Netzwerk-Metaanalyse (43 Studien, 932.380 Patienten): Vergleich von bariatrischer Chirurgie und GLP-1-Rezeptoragonisten für kardiovaskuläre Ergebnisse (MACE, Herzinsuffizienz, Myokardinfarkt) bei Adipositas.</w:t>
      </w:r>
    </w:p>
    <w:p>
      <w:r>
        <w:rPr>
          <w:b/>
        </w:rPr>
        <w:t xml:space="preserve">Ergebnis: </w:t>
      </w:r>
      <w:r>
        <w:t>Bariatrische Chirurgie war mit signifikant größerer Risikoreduktion assoziiert als GLP-1-Agonisten: MACE (BS: HR 0,66 [0,60–0,74] vs. GLP-1: HR 0,85 [0,77–0,94]); Herzinsuffizienz (BS: HR 0,45 [0,38–0,53] vs. GLP-1 nicht signifikant); Myokardinfarkt (BS: HR 0,53 [0,45–0,63] vs. GLP-1 nicht signifikant). Hohe Heterogenität (I²: 66–93%) bestand, aber die Richtung war konsistent. GLP-1-Agonisten bleiben wirksam für Nicht-Chirurgie-Kandidaten, aber BS zeigte überlegene Ergebnisse in allen kardiovaskulären Endpunkten.</w:t>
      </w:r>
    </w:p>
    <w:p>
      <w:r>
        <w:rPr>
          <w:b/>
          <w:sz w:val="19"/>
        </w:rPr>
        <w:t xml:space="preserve">Übertragbarkeit: </w:t>
      </w:r>
      <w:r>
        <w:rPr>
          <w:sz w:val="19"/>
        </w:rPr>
        <w:t>Systemische Übersicht mit globalen Daten; Übertragbarkeit abhängig von Erstattungspolitik (Deutschland: Chirurgie-Einzelfallprüfung, GLP-1 außerhalb SGB V)</w:t>
      </w:r>
    </w:p>
    <w:p>
      <w:r>
        <w:rPr>
          <w:color w:val="5A7D3A"/>
          <w:sz w:val="18"/>
        </w:rPr>
        <w:t>https://pubmed.ncbi.nlm.nih.gov/42700367/</w:t>
      </w:r>
    </w:p>
    <w:p>
      <w:pPr>
        <w:pStyle w:val="Heading2"/>
      </w:pPr>
      <w:r>
        <w:t>Arteriale Steifheit im Kindesalter: Adipositas verschärft die Progression bis ins Jugendalter</w:t>
      </w:r>
    </w:p>
    <w:p>
      <w:r>
        <w:rPr>
          <w:i/>
          <w:color w:val="666666"/>
          <w:sz w:val="18"/>
        </w:rPr>
        <w:t>Ventura D et al.  ·  Int J Cardiol  ·  15.11.2026  ·  PMID 42641818</w:t>
      </w:r>
    </w:p>
    <w:p>
      <w:r>
        <w:t>Längsstudie an 118 Kindern aus Portugal (8–9 und 13–14 Jahre): Karotis-femorale Pulswellengeschwindigkeit stieg von 5,01 auf 6,30 m/s; bei Übergewicht/Adipositas war sie in der Adoleszenz signifikant höher als bei Normalgewicht.</w:t>
      </w:r>
    </w:p>
    <w:p>
      <w:r>
        <w:rPr>
          <w:b/>
        </w:rPr>
        <w:t xml:space="preserve">Ergebnis: </w:t>
      </w:r>
      <w:r>
        <w:t>PWV wuchs mit p&lt;0,001 über die Zeit. Im adjustierten Modell blieben PWV im Alter 8–9 Jahren (β=0,39; p=0,039) und BMI-z-Score im Alter 13–14 (β=0,33; p&lt;0,001) unabhängige Prädiktoren der späteren PWV. Die kardiovaskuläre Verfolgung beginnt in der Kindheit; Gewichtsmanagement in kritischen Entwicklungsphasen könnte die Langzeitgesundheit optimieren.</w:t>
      </w:r>
    </w:p>
    <w:p>
      <w:r>
        <w:rPr>
          <w:b/>
          <w:sz w:val="19"/>
        </w:rPr>
        <w:t xml:space="preserve">Übertragbarkeit: </w:t>
      </w:r>
      <w:r>
        <w:rPr>
          <w:sz w:val="19"/>
        </w:rPr>
        <w:t>Portugal, vergleichbares europäisches Gesundheitssystem</w:t>
      </w:r>
    </w:p>
    <w:p>
      <w:r>
        <w:rPr>
          <w:color w:val="5A7D3A"/>
          <w:sz w:val="18"/>
        </w:rPr>
        <w:t>https://pubmed.ncbi.nlm.nih.gov/42641818/</w:t>
      </w:r>
    </w:p>
    <w:p>
      <w:pPr>
        <w:pStyle w:val="Heading2"/>
      </w:pPr>
      <w:r>
        <w:t>Insulinresistenz, nicht Leberfibrose, bestimmt Insulinclearance bei Adipositas Klasse 3</w:t>
      </w:r>
    </w:p>
    <w:p>
      <w:r>
        <w:rPr>
          <w:i/>
          <w:color w:val="666666"/>
          <w:sz w:val="18"/>
        </w:rPr>
        <w:t>Miya A et al.  ·  Diabetes Res Clin Pract  ·  02.08.2026  ·  PMID 42543084</w:t>
      </w:r>
    </w:p>
    <w:p>
      <w:r>
        <w:t>Querschnittanalyse bei 69 Adipositas-Klasse-3-Patienten (57% Prädiabetes) mit Leberbiopsie zur bariatrischen Chirurgie: Beziehung zwischen Insulinkinetik und Leberpathologie (Steatose, Inflammation, Ballonierung, Fibrose).</w:t>
      </w:r>
    </w:p>
    <w:p>
      <w:r>
        <w:rPr>
          <w:b/>
        </w:rPr>
        <w:t xml:space="preserve">Ergebnis: </w:t>
      </w:r>
      <w:r>
        <w:t>33% ohne MASLD, 23% mit reiner Steatose, 44% mit MASH. Kein hepatisches histologisches Merkmal korrelierte mit Insulinclearance (alle p&gt;0,15). In der multivariablen Regression waren nur HOMA-IR (B=−0,101; p=0,005) und orale Glukose-Insulinsensitivität (B=0,0070; p=0,001) unabhängige Prädiktoren der Insulinclearance – nicht Leberfetthalt, Steatosis-Grad oder Fibrose. Dies widerlegt die Annahme, dass hepatische histologische Schwere die Insulinclearance bei schwerer Adipositas treibt.</w:t>
      </w:r>
    </w:p>
    <w:p>
      <w:r>
        <w:rPr>
          <w:b/>
          <w:sz w:val="19"/>
        </w:rPr>
        <w:t xml:space="preserve">Übertragbarkeit: </w:t>
      </w:r>
      <w:r>
        <w:rPr>
          <w:sz w:val="19"/>
        </w:rPr>
        <w:t>Deutschland (Düsseldorf), direkt übertragbar auf DACH-Versorgung</w:t>
      </w:r>
    </w:p>
    <w:p>
      <w:r>
        <w:rPr>
          <w:color w:val="5A7D3A"/>
          <w:sz w:val="18"/>
        </w:rPr>
        <w:t>https://pubmed.ncbi.nlm.nih.gov/42543084/</w:t>
      </w:r>
    </w:p>
    <w:p>
      <w:pPr>
        <w:pStyle w:val="Heading2"/>
      </w:pPr>
      <w:r>
        <w:t>Adipositas verschärft psoriatische Arthritis und reduziert Biologika-Wirksamkeit</w:t>
      </w:r>
    </w:p>
    <w:p>
      <w:r>
        <w:rPr>
          <w:i/>
          <w:color w:val="666666"/>
          <w:sz w:val="18"/>
        </w:rPr>
        <w:t>Madsen N et al.  ·  RMD Open  ·  15.07.2026  ·  PMID 42457215</w:t>
      </w:r>
    </w:p>
    <w:p>
      <w:r>
        <w:t>Narrative Übersicht (nicht-systematische Suche) über Adipositas als Risikofaktor und Komorbidität bei psoriatischer Arthritis, mit Analyse der Interaktion mit Entzündung, Behandlungsresponse und Lebensqualität.</w:t>
      </w:r>
    </w:p>
    <w:p>
      <w:r>
        <w:rPr>
          <w:b/>
        </w:rPr>
        <w:t xml:space="preserve">Ergebnis: </w:t>
      </w:r>
      <w:r>
        <w:t>Adipositas verstärkt psoriatische Arthritis durch systemische Entzündung, Adipokinregulation und mechanische Gelenkbelastung, führt zu schlechterer Krankheitsaktivität und reduzierter Biologika-Wirksamkeit. Gewichtsverlust verbessert Krankheitsaktivität und therapeutische Effizienz, aber Effekte auf Pathophysiologie sind untererforscht. Klinische Leitlinien empfehlen koordinierte Versorgung (Rheumatologe, Ernährung, Bewegung), aber weitere Forschung zu Gewichtsmanagement-induzierten zytokinen Veränderungen ist erforderlich. Adipositas sollte als Risikofaktor in integrale PsA-Verwaltung anerkannt werden.</w:t>
      </w:r>
    </w:p>
    <w:p>
      <w:r>
        <w:rPr>
          <w:b/>
          <w:sz w:val="19"/>
        </w:rPr>
        <w:t xml:space="preserve">Übertragbarkeit: </w:t>
      </w:r>
      <w:r>
        <w:rPr>
          <w:sz w:val="19"/>
        </w:rPr>
        <w:t>Großbritannien/internationale Evidenz, Qualitätsbewertung und Kohärenz mit deutschem Versorgungsauftrag</w:t>
      </w:r>
    </w:p>
    <w:p>
      <w:r>
        <w:rPr>
          <w:color w:val="5A7D3A"/>
          <w:sz w:val="18"/>
        </w:rPr>
        <w:t>https://pubmed.ncbi.nlm.nih.gov/42457215/</w:t>
      </w:r>
    </w:p>
    <w:p>
      <w:pPr>
        <w:pStyle w:val="Heading2"/>
      </w:pPr>
      <w:r>
        <w:t>Adipositas kostet Estlands Gesundheitssystem 125 Millionen Euro jährlich</w:t>
      </w:r>
    </w:p>
    <w:p>
      <w:r>
        <w:rPr>
          <w:i/>
          <w:color w:val="666666"/>
          <w:sz w:val="18"/>
        </w:rPr>
        <w:t>Saavaste J et al.  ·  Cent Eur J Public Health  ·  Juni 2026  ·  PMID 42444424</w:t>
      </w:r>
    </w:p>
    <w:p>
      <w:r>
        <w:t>Kostenanalyse für Estland 2021 mit Bevölkerungsattribuabilitätsfraktion-Ansatz: Direkte und indirekte Kosten der Adipositas wurden geschätzt unter Berücksichtigung von 29 assoziierten Erkrankungen.</w:t>
      </w:r>
    </w:p>
    <w:p>
      <w:r>
        <w:rPr>
          <w:b/>
        </w:rPr>
        <w:t xml:space="preserve">Ergebnis: </w:t>
      </w:r>
      <w:r>
        <w:t>Direkte Kosten 112,7 Mio. EUR (95% waren Behandlungskosten), indirekte Kosten 12 Mio. EUR. Gesamtkosten 125 Mio. EUR pro Jahr (116 EUR pro Erwachsenem); davon 50,3 Mio. EUR auf Übergewicht, 74,4 Mio. EUR auf Adipositas entfallend. Dies entspricht 6,9% der nationalen Gesundheitsausgaben. Die hohe Krankheitslast unterstreicht Adipositas als erhebliche Belastung für das Gesundheitssystem.</w:t>
      </w:r>
    </w:p>
    <w:p>
      <w:r>
        <w:rPr>
          <w:b/>
          <w:sz w:val="19"/>
        </w:rPr>
        <w:t xml:space="preserve">Übertragbarkeit: </w:t>
      </w:r>
      <w:r>
        <w:rPr>
          <w:sz w:val="19"/>
        </w:rPr>
        <w:t>Estland, EU-vergleichbares Sozialversicherungssystem</w:t>
      </w:r>
    </w:p>
    <w:p>
      <w:r>
        <w:rPr>
          <w:color w:val="5A7D3A"/>
          <w:sz w:val="18"/>
        </w:rPr>
        <w:t>https://pubmed.ncbi.nlm.nih.gov/42444424/</w:t>
      </w:r>
    </w:p>
    <w:p>
      <w:pPr>
        <w:pStyle w:val="Heading2"/>
      </w:pPr>
      <w:r>
        <w:t>Semaglutid-Nutzer in Dänemark: 45% bleiben bei 1 mg, Gewichtsverlust und Begleitmedikationen reduziert</w:t>
      </w:r>
    </w:p>
    <w:p>
      <w:r>
        <w:rPr>
          <w:i/>
          <w:color w:val="666666"/>
          <w:sz w:val="18"/>
        </w:rPr>
        <w:t>Kjærgaard K et al.  ·  Diabetes Obes Metab  ·  13.07.2026  ·  PMID 42443134</w:t>
      </w:r>
    </w:p>
    <w:p>
      <w:r>
        <w:t>Querschnittserhebung in 28 dänischen Apotheken (N=767 Nutzer, 52% Rücklaufquote): Behandlungsmuster und Effekte von Semaglutid zur Gewichtsreduktion, einschließlich Dosierung, Gewichtsverlust nach Behandlungsdauer und Medikamentenreduktion.</w:t>
      </w:r>
    </w:p>
    <w:p>
      <w:r>
        <w:rPr>
          <w:b/>
        </w:rPr>
        <w:t xml:space="preserve">Ergebnis: </w:t>
      </w:r>
      <w:r>
        <w:t>45% der Nutzer blieben auf 1 mg, nur 8% erwarteten 2,4 mg zu erreichen. Gewichtsverlust variierte nach Dauer: 1–3 Monate 6% (IQR 3–7), &gt;1 Jahr 20% (IQR 15–26). 24% berichteten Reduktion/Absetzen von Begleitmedikamenten (30% bei Muskel-/Gelenkschmerzen, 24% bei Antihypertonika). Von 42 Erstnutzern waren 83% nach 6 Monaten noch in Therapie. Diese Daten zeigen individuelle Dosierungsanforderungen und real-world-Nutzungsmuster jenseits von Zulassungsstudien.</w:t>
      </w:r>
    </w:p>
    <w:p>
      <w:r>
        <w:rPr>
          <w:b/>
          <w:sz w:val="19"/>
        </w:rPr>
        <w:t xml:space="preserve">Übertragbarkeit: </w:t>
      </w:r>
      <w:r>
        <w:rPr>
          <w:sz w:val="19"/>
        </w:rPr>
        <w:t>Dänemark, vergleichbares skandinavisches Gesundheitssystem</w:t>
      </w:r>
    </w:p>
    <w:p>
      <w:r>
        <w:rPr>
          <w:color w:val="5A7D3A"/>
          <w:sz w:val="18"/>
        </w:rPr>
        <w:t>https://pubmed.ncbi.nlm.nih.gov/42443134/</w:t>
      </w:r>
    </w:p>
    <w:p>
      <w:pPr>
        <w:pStyle w:val="Heading1"/>
      </w:pPr>
      <w:r>
        <w:t>Aufgenommen am 06.09.2026</w:t>
      </w:r>
    </w:p>
    <w:p>
      <w:pPr>
        <w:pStyle w:val="Heading2"/>
      </w:pPr>
      <w:r>
        <w:t>Naturkontakt und Übergewicht bei Kindern: GRACE-Studie in Spanien und 5 Ländern</w:t>
      </w:r>
    </w:p>
    <w:p>
      <w:r>
        <w:rPr>
          <w:i/>
          <w:color w:val="666666"/>
          <w:sz w:val="18"/>
        </w:rPr>
        <w:t>Ciriza-Barea E et al.  ·  Rev Esp Salud Publica  ·  03.09.2026  ·  PMID 42690077</w:t>
      </w:r>
    </w:p>
    <w:p>
      <w:r>
        <w:t>GRACE-Studienprotokoll, prospektive Querschnittsuntersuchung über Geschlechtsdifferenzen in der Körperbildwahrnehmung bei krebs-induziertem Gewichtsverlust, später auch prospektive Prüfung: Naturkontakt bei Kindern (7–14 J.) und Adipositas-Assoziationen in Spanien und 5 weiteren Ländern.</w:t>
      </w:r>
    </w:p>
    <w:p>
      <w:r>
        <w:rPr>
          <w:b/>
        </w:rPr>
        <w:t xml:space="preserve">Ergebnis: </w:t>
      </w:r>
      <w:r>
        <w:t>Studienprotokoll für 600 Kinder (50 % Mädchen) über 12 Monate; primärer Endpunkt ist Unterschied in Körperbildskala-Scores zwischen Geschlechtern (3 Punkte als klinisch relevant). Dabei Erfassung von physischer Aktivität, Bildschirmzeit, psychischen und schulischen Faktoren.</w:t>
      </w:r>
    </w:p>
    <w:p>
      <w:r>
        <w:rPr>
          <w:b/>
          <w:sz w:val="19"/>
        </w:rPr>
        <w:t xml:space="preserve">Übertragbarkeit: </w:t>
      </w:r>
      <w:r>
        <w:rPr>
          <w:sz w:val="19"/>
        </w:rPr>
        <w:t>Spanien und multinationale Kohörte, primärmedizinische Versorgung, Prävention im schulischen Kontext.</w:t>
      </w:r>
    </w:p>
    <w:p>
      <w:r>
        <w:rPr>
          <w:color w:val="5A7D3A"/>
          <w:sz w:val="18"/>
        </w:rPr>
        <w:t>https://pubmed.ncbi.nlm.nih.gov/42690077/</w:t>
      </w:r>
    </w:p>
    <w:p>
      <w:pPr>
        <w:pStyle w:val="Heading2"/>
      </w:pPr>
      <w:r>
        <w:t>EASE-CF-Studie: Gewichtsabnahme-Intervention für zystische Fibrose-Patienten, Machbarkeitsprüfung</w:t>
      </w:r>
    </w:p>
    <w:p>
      <w:r>
        <w:rPr>
          <w:i/>
          <w:color w:val="666666"/>
          <w:sz w:val="18"/>
        </w:rPr>
        <w:t>Snowball J et al.  ·  BMJ Open Respir Res  ·  27.07.2026  ·  PMID 42508970</w:t>
      </w:r>
    </w:p>
    <w:p>
      <w:r>
        <w:t>Machbarkeitsprüfung einer dietitian-geführten Gewichtsabnahme-Intervention bei 30 CF-Patienten mit BMI ≥27 kg/m² über 24 Wochen in Großbritannien, eingebettet in qualitatives Design.</w:t>
      </w:r>
    </w:p>
    <w:p>
      <w:r>
        <w:rPr>
          <w:b/>
        </w:rPr>
        <w:t xml:space="preserve">Ergebnis: </w:t>
      </w:r>
      <w:r>
        <w:t>Dies ist ein Studienprotokoll; primärer Endpunkt ist Machbarkeit nach vordefinierten Kriterien (Rekrutierung, Adhärenz, Retention, Sicherheit). Die Studie soll testen, ob Gewichtsabnahme bei CF-Patienten ohne Lungenfunktionsverschlechterung möglich ist und sicher durchzuführen ist.</w:t>
      </w:r>
    </w:p>
    <w:p>
      <w:r>
        <w:rPr>
          <w:b/>
          <w:sz w:val="19"/>
        </w:rPr>
        <w:t xml:space="preserve">Übertragbarkeit: </w:t>
      </w:r>
      <w:r>
        <w:rPr>
          <w:sz w:val="19"/>
        </w:rPr>
        <w:t>Großbritannien, britisches NHS, strukturierte Versorgung, nationale Ethikgenehmigung.</w:t>
      </w:r>
    </w:p>
    <w:p>
      <w:r>
        <w:rPr>
          <w:color w:val="5A7D3A"/>
          <w:sz w:val="18"/>
        </w:rPr>
        <w:t>https://pubmed.ncbi.nlm.nih.gov/42508970/</w:t>
      </w:r>
    </w:p>
    <w:p>
      <w:pPr>
        <w:pStyle w:val="Heading2"/>
      </w:pPr>
      <w:r>
        <w:t>Exklusiver Olivenölkonsum senkt Typ-2-Diabetes-Risiko auch bei Übergewicht, 20-Jahres-Daten</w:t>
      </w:r>
    </w:p>
    <w:p>
      <w:r>
        <w:rPr>
          <w:i/>
          <w:color w:val="666666"/>
          <w:sz w:val="18"/>
        </w:rPr>
        <w:t>Kechagia I et al.  ·  Int J Food Sci Nutr  ·  25.07.2026  ·  PMID 42499318</w:t>
      </w:r>
    </w:p>
    <w:p>
      <w:r>
        <w:t>Die ATTICA-Kohortenstudie untersuchte über 20 Jahre, ob ausschließlicher Olivenölkonsum das Risiko für Typ-2-Diabetes bei 2000 Erwachsenen senkt.</w:t>
      </w:r>
    </w:p>
    <w:p>
      <w:r>
        <w:rPr>
          <w:b/>
        </w:rPr>
        <w:t xml:space="preserve">Ergebnis: </w:t>
      </w:r>
      <w:r>
        <w:t>Exklusiver Olivenölkonsum war mit niedrigerem Typ-2-Diabetes-Risiko verbunden (OR 0,51, 95%-KI 0,33–0,80). Die Assoziation war stärker bei übergewichtigen (OR 0,45) und adipösen Personen (OR 0,23). Die Ergebnisse sprechen für Olivenöl als nachhaltige Ernährungsstrategie, besonders bei metabolisch vulnerablen Gruppen.</w:t>
      </w:r>
    </w:p>
    <w:p>
      <w:r>
        <w:rPr>
          <w:b/>
          <w:sz w:val="19"/>
        </w:rPr>
        <w:t xml:space="preserve">Übertragbarkeit: </w:t>
      </w:r>
      <w:r>
        <w:rPr>
          <w:sz w:val="19"/>
        </w:rPr>
        <w:t>Südeuropa, vergleichbare Präventionspolitik und Ernährungsmuster.</w:t>
      </w:r>
    </w:p>
    <w:p>
      <w:r>
        <w:rPr>
          <w:color w:val="5A7D3A"/>
          <w:sz w:val="18"/>
        </w:rPr>
        <w:t>https://pubmed.ncbi.nlm.nih.gov/42499318/</w:t>
      </w:r>
    </w:p>
    <w:p>
      <w:pPr>
        <w:pStyle w:val="Heading2"/>
      </w:pPr>
      <w:r>
        <w:t>Adipositas-Indizes prognostizieren 20-Jahres-Typ-2-Diabetes-Risiko unterschiedlich gut</w:t>
      </w:r>
    </w:p>
    <w:p>
      <w:r>
        <w:rPr>
          <w:i/>
          <w:color w:val="666666"/>
          <w:sz w:val="18"/>
        </w:rPr>
        <w:t>Kechagia I et al.  ·  Clin Obes  ·  Aug. 2026  ·  PMID 42495893</w:t>
      </w:r>
    </w:p>
    <w:p>
      <w:r>
        <w:t>ATTICA-Kohortenstudie von 2000 Personen über 20 Jahre evaluierte, welche Adipositas-Indikatoren (BMI, WHtR, Lipid-Akkumulation) das Typ-2-Diabetes-Risiko am besten vorhersagen.</w:t>
      </w:r>
    </w:p>
    <w:p>
      <w:r>
        <w:rPr>
          <w:b/>
        </w:rPr>
        <w:t xml:space="preserve">Ergebnis: </w:t>
      </w:r>
      <w:r>
        <w:t>Alle Indizes waren unabhängig mit Typ-2-Diabetes-Inzidenz (26,3 %) assoziiert; Diskriminativität lag bei C-Index 0,70–0,80 für zentrale und für Dysfunktions-Indizes. Keine großen Unterschiede zwischen Maßen, aber konsistente moderate Vorhersagekraft über 20 Jahre.</w:t>
      </w:r>
    </w:p>
    <w:p>
      <w:r>
        <w:rPr>
          <w:b/>
          <w:sz w:val="19"/>
        </w:rPr>
        <w:t xml:space="preserve">Übertragbarkeit: </w:t>
      </w:r>
      <w:r>
        <w:rPr>
          <w:sz w:val="19"/>
        </w:rPr>
        <w:t>Südeuropa, prospektive Populationsdaten, Rolle von Risikistratifizierung.</w:t>
      </w:r>
    </w:p>
    <w:p>
      <w:r>
        <w:rPr>
          <w:color w:val="5A7D3A"/>
          <w:sz w:val="18"/>
        </w:rPr>
        <w:t>https://pubmed.ncbi.nlm.nih.gov/42495893/</w:t>
      </w:r>
    </w:p>
    <w:p>
      <w:pPr>
        <w:pStyle w:val="Heading2"/>
      </w:pPr>
      <w:r>
        <w:t>Metabolisches Syndrom und COPD bei Adipositaschirurgie assoziiert mit höherem Gewichtsverlust</w:t>
      </w:r>
    </w:p>
    <w:p>
      <w:r>
        <w:rPr>
          <w:i/>
          <w:color w:val="666666"/>
          <w:sz w:val="18"/>
        </w:rPr>
        <w:t>Stepaniak U et al.  ·  J Obes  ·  2026  ·  PMID 42470258</w:t>
      </w:r>
    </w:p>
    <w:p>
      <w:r>
        <w:t>Retrospektive Analyse von 601 Patienten mit schwerer Adipositas vor und 1 Jahr nach bariatrischer Operation in Polen zur Frage, welche Komorbiditäten den Gewichtsverlust beeinflussen.</w:t>
      </w:r>
    </w:p>
    <w:p>
      <w:r>
        <w:rPr>
          <w:b/>
        </w:rPr>
        <w:t xml:space="preserve">Ergebnis: </w:t>
      </w:r>
      <w:r>
        <w:t>Hypertonie war mit 71,2 % am häufigsten. Patienten mit metabolischem Syndrom oder COPD zeigten signifikant höheren Gewichtsverlust (2,4 bzw. 6,5 % mehr; p&lt;0,05 nach Adjustierung). Osteoarthritis und GERD waren mit geringerem Erfolg assoziiert.</w:t>
      </w:r>
    </w:p>
    <w:p>
      <w:r>
        <w:rPr>
          <w:b/>
          <w:sz w:val="19"/>
        </w:rPr>
        <w:t xml:space="preserve">Übertragbarkeit: </w:t>
      </w:r>
      <w:r>
        <w:rPr>
          <w:sz w:val="19"/>
        </w:rPr>
        <w:t>Polen, europäische Adipositaschirurgie-Versorgung, vergleichbares System.</w:t>
      </w:r>
    </w:p>
    <w:p>
      <w:r>
        <w:rPr>
          <w:color w:val="5A7D3A"/>
          <w:sz w:val="18"/>
        </w:rPr>
        <w:t>https://pubmed.ncbi.nlm.nih.gov/42470258/</w:t>
      </w:r>
    </w:p>
    <w:p>
      <w:pPr>
        <w:pStyle w:val="Heading2"/>
      </w:pPr>
      <w:r>
        <w:t>GLP-1-Rezeptoragonisten assoziiert mit niedrigeren Raten für Alkohol- und Substanzgebrauchsstörungen</w:t>
      </w:r>
    </w:p>
    <w:p>
      <w:r>
        <w:rPr>
          <w:i/>
          <w:color w:val="666666"/>
          <w:sz w:val="18"/>
        </w:rPr>
        <w:t>Bach P et al.  ·  Lancet Psychiatry  ·  Aug. 2026  ·  PMID 42456704</w:t>
      </w:r>
    </w:p>
    <w:p>
      <w:r>
        <w:t>Schwedische Registeranalyse von 167.026 Typ-2-Diabetes-Patienten, die GLP-1-Rezeptoragonisten erhielten oder nicht, zur Assoziation mit Krankenhausaufnahmen wegen Alkohol- oder Substanzgebrauchsstörungen.</w:t>
      </w:r>
    </w:p>
    <w:p>
      <w:r>
        <w:rPr>
          <w:b/>
        </w:rPr>
        <w:t xml:space="preserve">Ergebnis: </w:t>
      </w:r>
      <w:r>
        <w:t>GLP-1-Exposition war mit niedrigeren Raten für Alkoholgebrauchsstörung (RR 0,55, 95%-KI 0,43–0,70) und Substanzgebrauchsstörung (RR 0,61, 95%-KI 0,50–0,74) assoziiert. Der Effekt blieb in den ersten 182 Tagen nach Absetzen für Alkoholstörung erhalten (RR 0,70), nicht aber danach oder für Substanzgebrauch.</w:t>
      </w:r>
    </w:p>
    <w:p>
      <w:r>
        <w:rPr>
          <w:b/>
          <w:sz w:val="19"/>
        </w:rPr>
        <w:t xml:space="preserve">Übertragbarkeit: </w:t>
      </w:r>
      <w:r>
        <w:rPr>
          <w:sz w:val="19"/>
        </w:rPr>
        <w:t>Schweden, universelles Gesundheitssystem, Registerqualität, hohe Variabilität bei Präparaten.</w:t>
      </w:r>
    </w:p>
    <w:p>
      <w:r>
        <w:rPr>
          <w:color w:val="5A7D3A"/>
          <w:sz w:val="18"/>
        </w:rPr>
        <w:t>https://pubmed.ncbi.nlm.nih.gov/42456704/</w:t>
      </w:r>
    </w:p>
    <w:p>
      <w:pPr>
        <w:pStyle w:val="Heading2"/>
      </w:pPr>
      <w:r>
        <w:t>Sarkopenie-Risiko bei hocheffektiver Adipositasbehandlung: individualisierte Gewichtsverlust-Ziele nötig</w:t>
      </w:r>
    </w:p>
    <w:p>
      <w:r>
        <w:rPr>
          <w:i/>
          <w:color w:val="666666"/>
          <w:sz w:val="18"/>
        </w:rPr>
        <w:t>Bosy-Westphal A et al.  ·  J Cachexia Sarcopenia Muscle  ·  Aug. 2026  ·  PMID 42455525</w:t>
      </w:r>
    </w:p>
    <w:p>
      <w:r>
        <w:t>Narrative Übersichtsarbeit, die physiologische Prinzipien und Daten aus klinischen Studien zu hocheffektiven Adipositas-Medikamenten (GLP-1, Inkretin) integriert, um Kriterien für sichere Gewichtsverlust-Ziele zu definieren.</w:t>
      </w:r>
    </w:p>
    <w:p>
      <w:r>
        <w:rPr>
          <w:b/>
        </w:rPr>
        <w:t xml:space="preserve">Ergebnis: </w:t>
      </w:r>
      <w:r>
        <w:t>Bei großen Energiedefiziten ging 33–38 % des Gewichtsverlusts auf Magermasse (v. a. Skelettmuskel), nicht Fett zurück. SMI-basierte Schwellenwerte (SMI-SDS ≤ −0,67) können klinisch relevante Muskelerschöpfung identifizieren. Interventionen mit strukturiertem Sport zeigten günstigere Fett-Magergewicht-Partitionierung als ohne.</w:t>
      </w:r>
    </w:p>
    <w:p>
      <w:r>
        <w:rPr>
          <w:b/>
          <w:sz w:val="19"/>
        </w:rPr>
        <w:t xml:space="preserve">Übertragbarkeit: </w:t>
      </w:r>
      <w:r>
        <w:rPr>
          <w:sz w:val="19"/>
        </w:rPr>
        <w:t>Deutsche und europäische Kliniken, universelle Prinzipien der Muskelerhaltung, anwendbar auf alle Behandlungsarten.</w:t>
      </w:r>
    </w:p>
    <w:p>
      <w:r>
        <w:rPr>
          <w:color w:val="5A7D3A"/>
          <w:sz w:val="18"/>
        </w:rPr>
        <w:t>https://pubmed.ncbi.nlm.nih.gov/42455525/</w:t>
      </w:r>
    </w:p>
    <w:p>
      <w:pPr>
        <w:pStyle w:val="Heading1"/>
      </w:pPr>
      <w:r>
        <w:t>Aufgenommen am 05.09.2026</w:t>
      </w:r>
    </w:p>
    <w:p>
      <w:pPr>
        <w:pStyle w:val="Heading2"/>
      </w:pPr>
      <w:r>
        <w:t>Lange Wartezeiten auf Adipositaschirurgie verschärfen Stoffwechselkomplikationen um 1,92 Jahre pro Komorbidität</w:t>
      </w:r>
    </w:p>
    <w:p>
      <w:r>
        <w:rPr>
          <w:i/>
          <w:color w:val="666666"/>
          <w:sz w:val="18"/>
        </w:rPr>
        <w:t>Barros F et al.  ·  Arq Bras Cir Dig  ·  31.08.2026  ·  PMID 42690302</w:t>
      </w:r>
    </w:p>
    <w:p>
      <w:r>
        <w:t>Retrospektive Kohortenstudie von 1.000 Adipositas-Patienten im brasilianischen öffentlichen Gesundheitssystem; Analyse der Beziehung zwischen Wartezeit und Anzahl der Komorbiditäten.</w:t>
      </w:r>
    </w:p>
    <w:p>
      <w:r>
        <w:rPr>
          <w:b/>
        </w:rPr>
        <w:t xml:space="preserve">Ergebnis: </w:t>
      </w:r>
      <w:r>
        <w:t>Signifikante Korrelation: Wartezeit mit Komorbiditäten R²=0,686 (p&lt;0,001); 60% der Wartezeit-Variabilität durch Komorbiditäten erklärt (R²=0,600). Durchschnittlich +1,92 Jahre Wartezeit pro zusätzliche Komorbidität (95% KI 1,82–2,02). Patienten &gt;10 Jahre auf der Liste zeigten höhere HbA1c-, LDL- und Gesamtcholesterinwerte.</w:t>
      </w:r>
    </w:p>
    <w:p>
      <w:r>
        <w:rPr>
          <w:b/>
          <w:sz w:val="19"/>
        </w:rPr>
        <w:t xml:space="preserve">Übertragbarkeit: </w:t>
      </w:r>
      <w:r>
        <w:rPr>
          <w:sz w:val="19"/>
        </w:rPr>
        <w:t>Brasilien mit längeren Wartelisten; zeigt Versorgungszugang-Problem, das auch deutsche Kostenträger kennen</w:t>
      </w:r>
    </w:p>
    <w:p>
      <w:r>
        <w:rPr>
          <w:color w:val="5A7D3A"/>
          <w:sz w:val="18"/>
        </w:rPr>
        <w:t>https://pubmed.ncbi.nlm.nih.gov/42690302/</w:t>
      </w:r>
    </w:p>
    <w:p>
      <w:pPr>
        <w:pStyle w:val="Heading2"/>
      </w:pPr>
      <w:r>
        <w:t>Langfristige Bewegung senkt Adipositas-Risiko um ein Drittel bei Frauen mittleren Alters – aber höhere Ziele zeigen keinen Zusatznutzen</w:t>
      </w:r>
    </w:p>
    <w:p>
      <w:r>
        <w:rPr>
          <w:i/>
          <w:color w:val="666666"/>
          <w:sz w:val="18"/>
        </w:rPr>
        <w:t>Tarp J et al.  ·  Int J Epidemiol  ·  18.08.2026  ·  PMID 42689630</w:t>
      </w:r>
    </w:p>
    <w:p>
      <w:r>
        <w:t>Target-Trial-Emulation mit 10 Wellen Beobachtungsdaten (1996–2022) von 779 australischen Frauen aus der Longitudinal Study on Women's Health; Effekt von 18-jähriger Adhärenz zur WHO-Bewegungsempfehlung (≥150 min/Woche) auf Adipositas-Inzidenz.</w:t>
      </w:r>
    </w:p>
    <w:p>
      <w:r>
        <w:rPr>
          <w:b/>
        </w:rPr>
        <w:t xml:space="preserve">Ergebnis: </w:t>
      </w:r>
      <w:r>
        <w:t>Kumulative Adipositas-Inzidenz nach 21 Jahren: 9,9% (99,5% KI 8,6–11,1%) mit 18-jähriger Adhärenz vs. 15,1% (12,8–17,4%) ohne Adhärenz. Risikoquote 1,5 (99,5% KI 1,2–1,9); Risikodifferenz 5,3%-Punkte (2,3–8,3%). Jede weitere Erhebung mit Nicht-Adhärenz: RR 1,1. Kein zusätzlicher Nutzen höherer Ziele.</w:t>
      </w:r>
    </w:p>
    <w:p>
      <w:r>
        <w:rPr>
          <w:b/>
          <w:sz w:val="19"/>
        </w:rPr>
        <w:t xml:space="preserve">Übertragbarkeit: </w:t>
      </w:r>
      <w:r>
        <w:rPr>
          <w:sz w:val="19"/>
        </w:rPr>
        <w:t>Australien; langjährige Kohorte mit Zielprotokollemulation; Bewegungsforschung übertragbar auf Deutschland</w:t>
      </w:r>
    </w:p>
    <w:p>
      <w:r>
        <w:rPr>
          <w:color w:val="5A7D3A"/>
          <w:sz w:val="18"/>
        </w:rPr>
        <w:t>https://pubmed.ncbi.nlm.nih.gov/42689630/</w:t>
      </w:r>
    </w:p>
    <w:p>
      <w:pPr>
        <w:pStyle w:val="Heading2"/>
      </w:pPr>
      <w:r>
        <w:t>Rumänische Jugendliche: Diätische Einschränkung verdoppelt sich mit BMI, Schuldgefühle und emotionales Essen steigen – Hinweise auf gestörtes Essverhalten</w:t>
      </w:r>
    </w:p>
    <w:p>
      <w:r>
        <w:rPr>
          <w:i/>
          <w:color w:val="666666"/>
          <w:sz w:val="18"/>
        </w:rPr>
        <w:t>Mischie A et al.  ·  Nutrients  ·  16.08.2026  ·  PMID 42654257</w:t>
      </w:r>
    </w:p>
    <w:p>
      <w:r>
        <w:t>Cross-sectionale Online-Befragung von 753 rumänischen Erwachsenen (18–30 Jahre, 93,5% weiblich) zu Ernährungsmuster, Gewichtskontrollpraktiken und disordered eating über BMI-Kategorien.</w:t>
      </w:r>
    </w:p>
    <w:p>
      <w:r>
        <w:rPr>
          <w:b/>
        </w:rPr>
        <w:t xml:space="preserve">Ergebnis: </w:t>
      </w:r>
      <w:r>
        <w:t>59,1% Normalgewicht, 29,3% Übergewicht/Adipositas, 11,6% Untergewicht. Diätische Einschränkung (57,4%), körperliche Aktivität (46,7%), aber auch self-induced vomiting (6,4%). Lebenslang Binge Eating 50,1%, aktuell stressabhängiges Essen 49,1%, Schuldgefühle nach dem Essen 66,1%. Bei Übergewicht/Adipositas vs. Normalgewicht: aOR Einschränkung 2,34 (p&lt;0,001), emotionales Essen aOR 2,49, Schuld aOR 2,73 – monotonischer Gradient.</w:t>
      </w:r>
    </w:p>
    <w:p>
      <w:r>
        <w:rPr>
          <w:b/>
          <w:sz w:val="19"/>
        </w:rPr>
        <w:t xml:space="preserve">Übertragbarkeit: </w:t>
      </w:r>
      <w:r>
        <w:rPr>
          <w:sz w:val="19"/>
        </w:rPr>
        <w:t>Rumänien, Zentral-/Osteuropa; Online-Sample, überwiegend weiblich, urban – Generalisierbarkeit begrenzt</w:t>
      </w:r>
    </w:p>
    <w:p>
      <w:r>
        <w:rPr>
          <w:color w:val="5A7D3A"/>
          <w:sz w:val="18"/>
        </w:rPr>
        <w:t>https://pubmed.ncbi.nlm.nih.gov/42654257/</w:t>
      </w:r>
    </w:p>
    <w:p>
      <w:pPr>
        <w:pStyle w:val="Heading2"/>
      </w:pPr>
      <w:r>
        <w:t>Tirzepatide im UK-Digital-Health-Setting: 13,5% Gewichtsverlust in 6 Monaten, höhere Persistenz bei weniger deprivierten Patienten</w:t>
      </w:r>
    </w:p>
    <w:p>
      <w:r>
        <w:rPr>
          <w:i/>
          <w:color w:val="666666"/>
          <w:sz w:val="18"/>
        </w:rPr>
        <w:t>Rosenior-Patten O et al.  ·  Diabetes Obes Metab  ·  06.08.2026  ·  PMID 42560020</w:t>
      </w:r>
    </w:p>
    <w:p>
      <w:r>
        <w:t>Retrospektive Kohortenstudie von 630.545 Adipositas-Patienten in UK-Telemedizin-Praxis, die Tirzepatid initiierten; Messungen von Gewichtsveränderung und Therapietreue nach Deprivationsgrad.</w:t>
      </w:r>
    </w:p>
    <w:p>
      <w:r>
        <w:rPr>
          <w:b/>
        </w:rPr>
        <w:t xml:space="preserve">Ergebnis: </w:t>
      </w:r>
      <w:r>
        <w:t>Mittlerer Gewichtsverlust -13,5% (95% KI: -13,56 bis -13,51) nach 6 Monaten (n=270.309); 89,9% erreichten ≥5% Gewichtsverlust, 72,1% ≥10%. Patienten aus weniger deprivierten Gebieten zeigten 26,1% mehr Verordnungen; 46,7% berichteten Mobilitätsverbesserung, 45,9% Stimmungsverbesserung.</w:t>
      </w:r>
    </w:p>
    <w:p>
      <w:r>
        <w:rPr>
          <w:b/>
          <w:sz w:val="19"/>
        </w:rPr>
        <w:t xml:space="preserve">Übertragbarkeit: </w:t>
      </w:r>
      <w:r>
        <w:rPr>
          <w:sz w:val="19"/>
        </w:rPr>
        <w:t>UK-Telemedizin-System; Kostenerlass durch NHS nicht vergleichbar mit deutschem §34 SGB V-Ausschluss</w:t>
      </w:r>
    </w:p>
    <w:p>
      <w:r>
        <w:rPr>
          <w:color w:val="5A7D3A"/>
          <w:sz w:val="18"/>
        </w:rPr>
        <w:t>https://pubmed.ncbi.nlm.nih.gov/42560020/</w:t>
      </w:r>
    </w:p>
    <w:p>
      <w:pPr>
        <w:pStyle w:val="Heading2"/>
      </w:pPr>
      <w:r>
        <w:t>Leberfibrosis-Score bei Kindern mit Adipositas zeigt 3-fach erhöhtes Typ-2-Diabetes-Risiko in 9–19 Jahren</w:t>
      </w:r>
    </w:p>
    <w:p>
      <w:r>
        <w:rPr>
          <w:i/>
          <w:color w:val="666666"/>
          <w:sz w:val="18"/>
        </w:rPr>
        <w:t>Lefere S et al.  ·  Diabetologia  ·  22.07.2026  ·  PMID 42486926</w:t>
      </w:r>
    </w:p>
    <w:p>
      <w:r>
        <w:t>Kohortenstudie mit 4.856 Kindern mit Adipositas (Alter 12 Jahre) aus dem Schwedischen Childhood Obesity Treatment Register (2005–2020), verknüpft mit nationalen Registern; pFIB-6-Score für hepatische Fibrose und Risiko für Typ-2-Diabetes.</w:t>
      </w:r>
    </w:p>
    <w:p>
      <w:r>
        <w:rPr>
          <w:b/>
        </w:rPr>
        <w:t xml:space="preserve">Ergebnis: </w:t>
      </w:r>
      <w:r>
        <w:t>12,4% der adipösen Kinder hatten pFIB-6 ≥4. Hohes pFIB-6 (≥4) erhöhte Typ-2-Diabetes-Risiko im Alter 9–19 Jahre (aHR 3,05, 95% KI 2,17–4,28). Inzidenzrate (pro 10.000 Personenjahre): Allgemeinbevölkerung 1,02, adipöse Kinder pFIB-6 &lt;4: 45,5, pFIB-6 ≥4: 161,7. Erhöhte ALT und HOMA-IR waren stärkste Komponenten. Kein Prognosewert für Alter 20–25 Jahre.</w:t>
      </w:r>
    </w:p>
    <w:p>
      <w:r>
        <w:rPr>
          <w:b/>
          <w:sz w:val="19"/>
        </w:rPr>
        <w:t xml:space="preserve">Übertragbarkeit: </w:t>
      </w:r>
      <w:r>
        <w:rPr>
          <w:sz w:val="19"/>
        </w:rPr>
        <w:t>Schweden; skandinavisches Gesundheitssystem; Früherkennung für intensivierte Überwachung im Jugendalter</w:t>
      </w:r>
    </w:p>
    <w:p>
      <w:r>
        <w:rPr>
          <w:color w:val="5A7D3A"/>
          <w:sz w:val="18"/>
        </w:rPr>
        <w:t>https://pubmed.ncbi.nlm.nih.gov/42486926/</w:t>
      </w:r>
    </w:p>
    <w:p>
      <w:pPr>
        <w:pStyle w:val="Heading2"/>
      </w:pPr>
      <w:r>
        <w:t>Schweizer Wehrpflichtige: Fitness sank, BMI stieg – Mismatch zwischen gefühlter und gemessener Aktivität</w:t>
      </w:r>
    </w:p>
    <w:p>
      <w:r>
        <w:rPr>
          <w:i/>
          <w:color w:val="666666"/>
          <w:sz w:val="18"/>
        </w:rPr>
        <w:t>Stoican K et al.  ·  BMJ Open  ·  15.07.2026  ·  PMID 42463210</w:t>
      </w:r>
    </w:p>
    <w:p>
      <w:r>
        <w:t>Cross-sectionale Analyse von 654.971 Schweizer Wehrpflichtigen 2006–2024; Trends in Fitness-Test-Scores (FTA) und BMI mit selbstberichteter Aktivität.</w:t>
      </w:r>
    </w:p>
    <w:p>
      <w:r>
        <w:rPr>
          <w:b/>
        </w:rPr>
        <w:t xml:space="preserve">Ergebnis: </w:t>
      </w:r>
      <w:r>
        <w:t>Männliche Wehrpflichtige: FTA-Score sank von 74,2 (2006) auf 70,4 (2024); Frauen: FTA stieg von 45,4 auf 49,9. BMI stieg bei Männern von 23,2 auf 24,1 kg/m² (Übergewicht 17%→23%, Adipositas 5%→9%). Trotzdem stieg Selbstbericht für Bewegung (trainiert: 40%→56% bei Männern, 50%→64% bei Frauen). Waist-to-Height Ratio stabil.</w:t>
      </w:r>
    </w:p>
    <w:p>
      <w:r>
        <w:rPr>
          <w:b/>
          <w:sz w:val="19"/>
        </w:rPr>
        <w:t xml:space="preserve">Übertragbarkeit: </w:t>
      </w:r>
      <w:r>
        <w:rPr>
          <w:sz w:val="19"/>
        </w:rPr>
        <w:t>Schweiz; vergleichbare Wehrpflicht-Rekrutierungsdaten, ähnliches Wohlfahrtssystem</w:t>
      </w:r>
    </w:p>
    <w:p>
      <w:r>
        <w:rPr>
          <w:color w:val="5A7D3A"/>
          <w:sz w:val="18"/>
        </w:rPr>
        <w:t>https://pubmed.ncbi.nlm.nih.gov/42463210/</w:t>
      </w:r>
    </w:p>
    <w:p>
      <w:pPr>
        <w:pStyle w:val="Heading1"/>
      </w:pPr>
      <w:r>
        <w:t>Aufgenommen am 04.09.2026</w:t>
      </w:r>
    </w:p>
    <w:p>
      <w:pPr>
        <w:pStyle w:val="Heading2"/>
      </w:pPr>
      <w:r>
        <w:t>Fragmentation in Adipositas-Versorgung behindert Behandlungserfolg in Sri Lanka</w:t>
      </w:r>
    </w:p>
    <w:p>
      <w:r>
        <w:rPr>
          <w:i/>
          <w:color w:val="666666"/>
          <w:sz w:val="18"/>
        </w:rPr>
        <w:t>Gamage GP et al.  ·  BMJ Open  ·  03.09.2026  ·  PMID 42692514</w:t>
      </w:r>
    </w:p>
    <w:p>
      <w:r>
        <w:t>Qualitative Studie mit 8 Versorgungspraktikern in Colombo (Diätassistenten, Ärzte, Verhaltensfachleute): semi-strukturierte Interviews zur Ausgestaltung von Gewichtsmanagement für junge Erwachsene (18–35 Jahre) mit Adipositas.</w:t>
      </w:r>
    </w:p>
    <w:p>
      <w:r>
        <w:rPr>
          <w:b/>
        </w:rPr>
        <w:t xml:space="preserve">Ergebnis: </w:t>
      </w:r>
      <w:r>
        <w:t>Zwei Kernthemen: (1) Barrieren – begrenzte Kompetenz und Selbstsicherheit der Praktiker, fragmentierte Versorgung, Motivations- und Adhärenzprobleme von Patienten, kulturelle/religiöse Mythen; (2) Strategien – frühzeitige Erkennung mit klarem Überweisungssystem, individualisierte interdisziplinäre Versorgung, kontinuierliche Nachsorge und Selbstmonitoring, unterstützendes soziales Umfeld. Koordination der Versorgung ist Schlüsselfaktor.</w:t>
      </w:r>
    </w:p>
    <w:p>
      <w:r>
        <w:rPr>
          <w:b/>
          <w:sz w:val="19"/>
        </w:rPr>
        <w:t xml:space="preserve">Übertragbarkeit: </w:t>
      </w:r>
      <w:r>
        <w:rPr>
          <w:sz w:val="19"/>
        </w:rPr>
        <w:t>Südostasien, aber Erkenntnis zur Fragmentierung gilt auch für Deutschland</w:t>
      </w:r>
    </w:p>
    <w:p>
      <w:r>
        <w:rPr>
          <w:color w:val="5A7D3A"/>
          <w:sz w:val="18"/>
        </w:rPr>
        <w:t>https://pubmed.ncbi.nlm.nih.gov/42692514/</w:t>
      </w:r>
    </w:p>
    <w:p>
      <w:pPr>
        <w:pStyle w:val="Heading2"/>
      </w:pPr>
      <w:r>
        <w:t>Liposuktion bei Lipoödem in Deutschland: Superioriät zur konservativen Therapie</w:t>
      </w:r>
    </w:p>
    <w:p>
      <w:r>
        <w:rPr>
          <w:i/>
          <w:color w:val="666666"/>
          <w:sz w:val="18"/>
        </w:rPr>
        <w:t>Podda M et al.  ·  Lancet  ·  05.09.2026  ·  PMID 42692034</w:t>
      </w:r>
    </w:p>
    <w:p>
      <w:r>
        <w:t>Randomisierte deutsche Multicenter-Studie an 410 Patienten mit Lipoödem, die Liposuktion mit konservativer Kompressionstherapie über 12 Monate verglichen.</w:t>
      </w:r>
    </w:p>
    <w:p>
      <w:r>
        <w:rPr>
          <w:b/>
        </w:rPr>
        <w:t xml:space="preserve">Ergebnis: </w:t>
      </w:r>
      <w:r>
        <w:t>68 % der Liposuktion-Patienten erreichten Schmerzreduktion ≥2 Punkte vs. 8 % unter Therapie (OR 26,2; 95%-KI 13,1–52,5; p&lt;0,0001). Ernsthafte unerwünschte Ereignisse traten in 8 % der Liposuktion-Gruppe auf vs. 3 % unter konservativer Therapie. Sekundäre Outcomes zur Lebensqualität waren in der Liposuktion-Gruppe signifikant besser.</w:t>
      </w:r>
    </w:p>
    <w:p>
      <w:r>
        <w:rPr>
          <w:b/>
          <w:sz w:val="19"/>
        </w:rPr>
        <w:t xml:space="preserve">Übertragbarkeit: </w:t>
      </w:r>
      <w:r>
        <w:rPr>
          <w:sz w:val="19"/>
        </w:rPr>
        <w:t>Deutsche Klinikdaten, vergleichbare Dokumentationspflichten und Erstattungslogik</w:t>
      </w:r>
    </w:p>
    <w:p>
      <w:r>
        <w:rPr>
          <w:color w:val="5A7D3A"/>
          <w:sz w:val="18"/>
        </w:rPr>
        <w:t>https://pubmed.ncbi.nlm.nih.gov/42692034/</w:t>
      </w:r>
    </w:p>
    <w:p>
      <w:pPr>
        <w:pStyle w:val="Heading2"/>
      </w:pPr>
      <w:r>
        <w:t>Adipositas-Prävention bei Kindern: Strategie scheitert bei Benachteiligten</w:t>
      </w:r>
    </w:p>
    <w:p>
      <w:r>
        <w:rPr>
          <w:i/>
          <w:color w:val="666666"/>
          <w:sz w:val="18"/>
        </w:rPr>
        <w:t>Royo-Bordonada MÁ et al.  ·  Rev Esp Salud Publica  ·  01.09.2026  ·  PMID 42690119</w:t>
      </w:r>
    </w:p>
    <w:p>
      <w:r>
        <w:t>Analyse spanischer Adipositasepidemie: 34,1 % der 3–24-Jährigen mit Übergewicht, 10,3 % mit Adipositas; zwischen 2006 und 2016 stieg Adipositas-Prävalenz aber nur in sozial benachteiligten Gebieten.</w:t>
      </w:r>
    </w:p>
    <w:p>
      <w:r>
        <w:rPr>
          <w:b/>
        </w:rPr>
        <w:t xml:space="preserve">Ergebnis: </w:t>
      </w:r>
      <w:r>
        <w:t>Zwischen 2019 und 2023 sanken Übergewicht und Adipositas bei 6–9-Jährigen um 3,1 bzw. 1,4 Prozentpunkte, blieben aber in Familien mit niedrigem Einkommen stabil. Das Adipositas-Ratio (Unterschicht vs. Oberschicht) verschärfte sich von 1,59 auf 2,03. Die NAOS-Strategie verfehlte damit ihre Zielgruppe.</w:t>
      </w:r>
    </w:p>
    <w:p>
      <w:r>
        <w:rPr>
          <w:b/>
          <w:sz w:val="19"/>
        </w:rPr>
        <w:t xml:space="preserve">Übertragbarkeit: </w:t>
      </w:r>
      <w:r>
        <w:rPr>
          <w:sz w:val="19"/>
        </w:rPr>
        <w:t>Südeuropa, ähnliche Versicherungssysteme und Präventionsaufträge</w:t>
      </w:r>
    </w:p>
    <w:p>
      <w:r>
        <w:rPr>
          <w:color w:val="5A7D3A"/>
          <w:sz w:val="18"/>
        </w:rPr>
        <w:t>https://pubmed.ncbi.nlm.nih.gov/42690119/</w:t>
      </w:r>
    </w:p>
    <w:p>
      <w:pPr>
        <w:pStyle w:val="Heading2"/>
      </w:pPr>
      <w:r>
        <w:t>Frühe Gewichtszunahme im Kindesalter schädigt Nierenfunktion dauerhaft</w:t>
      </w:r>
    </w:p>
    <w:p>
      <w:r>
        <w:rPr>
          <w:i/>
          <w:color w:val="666666"/>
          <w:sz w:val="18"/>
        </w:rPr>
        <w:t>Dias M et al.  ·  J Bras Nefrol  ·  Okt. 2026  ·  PMID 42684143</w:t>
      </w:r>
    </w:p>
    <w:p>
      <w:r>
        <w:t>Longitudinale portugiesische Kohortenstudie mit 1004 Kindern (7–9 Jahre), die Gewichtsverlaufsmuster von Geburt bis 6 Jahre mit geschätzter glomerulärer Filtrationsrate korrelierte.</w:t>
      </w:r>
    </w:p>
    <w:p>
      <w:r>
        <w:rPr>
          <w:b/>
        </w:rPr>
        <w:t xml:space="preserve">Ergebnis: </w:t>
      </w:r>
      <w:r>
        <w:t>Kinder mit persistenter oder im Schulalter beginnender beschleunigter Gewichtszunahme (Trajektorie II und III) wiesen signifikant niedrigere eGFR auf (2,68–3,75 mL/min/1,73 m² niedriger als Referenzgruppe in multivariaten Modellen; p nicht durchgehend angegeben, aber CYSTIN-Messung zeigt Effekt). Frühe metabolische Prägung bestimmt spätere Nierenfunktion.</w:t>
      </w:r>
    </w:p>
    <w:p>
      <w:r>
        <w:rPr>
          <w:b/>
          <w:sz w:val="19"/>
        </w:rPr>
        <w:t xml:space="preserve">Übertragbarkeit: </w:t>
      </w:r>
      <w:r>
        <w:rPr>
          <w:sz w:val="19"/>
        </w:rPr>
        <w:t>Südeuropa, Public Health-Kontext ähnlich Süddeutschland</w:t>
      </w:r>
    </w:p>
    <w:p>
      <w:r>
        <w:rPr>
          <w:color w:val="5A7D3A"/>
          <w:sz w:val="18"/>
        </w:rPr>
        <w:t>https://pubmed.ncbi.nlm.nih.gov/42684143/</w:t>
      </w:r>
    </w:p>
    <w:p>
      <w:pPr>
        <w:pStyle w:val="Heading2"/>
      </w:pPr>
      <w:r>
        <w:t>Mütterliches Übergewicht in der Schwangerschaft erhöht kardiovaskuläres Risiko der Kinder langfristig</w:t>
      </w:r>
    </w:p>
    <w:p>
      <w:r>
        <w:rPr>
          <w:i/>
          <w:color w:val="666666"/>
          <w:sz w:val="18"/>
        </w:rPr>
        <w:t>Wang H et al.  ·  JAMA Netw Open  ·  01.09.2026  ·  PMID 42678700</w:t>
      </w:r>
    </w:p>
    <w:p>
      <w:r>
        <w:t>Schwedische Populationskohorte mit 2,5 Mio. ab 1982 Geborenen, Nachverfolgung bis 2023: Assoziation mütterlicher BMI und Gestationsgewichtszunahme mit kardiovaskulären Ereignissen im Nachwuchs (median 22 Jahre Follow-up).</w:t>
      </w:r>
    </w:p>
    <w:p>
      <w:r>
        <w:rPr>
          <w:b/>
        </w:rPr>
        <w:t xml:space="preserve">Ergebnis: </w:t>
      </w:r>
      <w:r>
        <w:t>22.510 Fälle von kardiovaskulären Erkrankungen (0,9 %). Verglichen mit normalgewichtigen Müttern: Übergewicht der Mutter HR 1,29, Adipositas Klasse 1 HR 1,66, Klasse 2 HR 2,16, Klasse 3 HR 2,74. Höhere Gestationsgewichtszunahme (z-Score ≥1) bei normalgewichtigen Müttern: HR 1,16. Sibling-Analysen zeigten teilweise Attenuierung, aber Assoziationen blieben evident.</w:t>
      </w:r>
    </w:p>
    <w:p>
      <w:r>
        <w:rPr>
          <w:b/>
          <w:sz w:val="19"/>
        </w:rPr>
        <w:t xml:space="preserve">Übertragbarkeit: </w:t>
      </w:r>
      <w:r>
        <w:rPr>
          <w:sz w:val="19"/>
        </w:rPr>
        <w:t>Skandinavien, vergleichbare Geburtshilfe und Kinder-Nachverfolgung</w:t>
      </w:r>
    </w:p>
    <w:p>
      <w:r>
        <w:rPr>
          <w:color w:val="5A7D3A"/>
          <w:sz w:val="18"/>
        </w:rPr>
        <w:t>https://pubmed.ncbi.nlm.nih.gov/42678700/</w:t>
      </w:r>
    </w:p>
    <w:p>
      <w:pPr>
        <w:pStyle w:val="Heading2"/>
      </w:pPr>
      <w:r>
        <w:t>Strukturierte Lebensstiländerung verbessert Body-Komposition unabhängig vom Gewichtsverlust</w:t>
      </w:r>
    </w:p>
    <w:p>
      <w:r>
        <w:rPr>
          <w:i/>
          <w:color w:val="666666"/>
          <w:sz w:val="18"/>
        </w:rPr>
        <w:t>Rúnarsdóttir TR et al.  ·  Mol Nutr Food Res  ·  Aug. 2026  ·  PMID 42522290</w:t>
      </w:r>
    </w:p>
    <w:p>
      <w:r>
        <w:t>Randomisierte isländische Doppelblind-Studie mit 33 Frauen mit Adipositas (BMI 30,0–54,1 kg/m²): 12-Wochen-Programm mit Chitosan oder Placebo plus strukturierte Lebensstiländerung (Ernährung, Bewegung); DXA-Analysen der Body-Komposition.</w:t>
      </w:r>
    </w:p>
    <w:p>
      <w:r>
        <w:rPr>
          <w:b/>
        </w:rPr>
        <w:t xml:space="preserve">Ergebnis: </w:t>
      </w:r>
      <w:r>
        <w:t>Strukturierte Lifestyle-Interventionen erhöhten Muskelmasse, Handgriffstärke, Ausdauer und Selbstbewertung der Gesundheit über alle BMI-Gruppen hinweg, während Körperfettmasse und mittlerer arterieller Blutdruck sanken – unabhängig von Gewichtsverlust. Chitosan-Supplementation war mit Reduktion des Firmicutes/Bacteroidota-Verhältnisses assoziiert. Interpretierbarkeit durch kleine Stichprobe begrenzt.</w:t>
      </w:r>
    </w:p>
    <w:p>
      <w:r>
        <w:rPr>
          <w:b/>
          <w:sz w:val="19"/>
        </w:rPr>
        <w:t xml:space="preserve">Übertragbarkeit: </w:t>
      </w:r>
      <w:r>
        <w:rPr>
          <w:sz w:val="19"/>
        </w:rPr>
        <w:t>Nordeuropa, ähnliche Fachkompetenz in klinischer Ernährung</w:t>
      </w:r>
    </w:p>
    <w:p>
      <w:r>
        <w:rPr>
          <w:color w:val="5A7D3A"/>
          <w:sz w:val="18"/>
        </w:rPr>
        <w:t>https://pubmed.ncbi.nlm.nih.gov/42522290/</w:t>
      </w:r>
    </w:p>
    <w:p>
      <w:pPr>
        <w:pStyle w:val="Heading1"/>
      </w:pPr>
      <w:r>
        <w:t>Aufgenommen am 03.09.2026</w:t>
      </w:r>
    </w:p>
    <w:p>
      <w:pPr>
        <w:pStyle w:val="Heading2"/>
      </w:pPr>
      <w:r>
        <w:t>Leberablagerungen in der Kindheit vorhersagen kardiovaskuläres Risiko im jungen Erwachsenenalter</w:t>
      </w:r>
    </w:p>
    <w:p>
      <w:r>
        <w:rPr>
          <w:i/>
          <w:color w:val="666666"/>
          <w:sz w:val="18"/>
        </w:rPr>
        <w:t>Stroes AR et al.  ·  Pediatr Obes  ·  Sept. 2026  ·  PMID 42683934</w:t>
      </w:r>
    </w:p>
    <w:p>
      <w:r>
        <w:t>10-Jahres-Kohortenstudie zu Hepatic steatosis und Carotis-Intima-Media-Dicke (cIMT) bei Kindern mit schwerer Adipositas und deren 10-Jahres-Verfolgung.</w:t>
      </w:r>
    </w:p>
    <w:p>
      <w:r>
        <w:rPr>
          <w:b/>
        </w:rPr>
        <w:t xml:space="preserve">Ergebnis: </w:t>
      </w:r>
      <w:r>
        <w:t>46% der Kinder hatten Steatose, 46% auch als Erwachsene. Steatose im jungen Erwachsenenalter war unabhängig mit erhöhter cIMT assoziiert (Mittelwertdifferenz 0,035 mm, p=0,008). Kindliche Steatose sagte cIMT-Progression voraus. Persistente oder neu auftretende Steatose kennzeichnet höheres Herz-Kreislauf-Risiko.</w:t>
      </w:r>
    </w:p>
    <w:p>
      <w:r>
        <w:rPr>
          <w:b/>
          <w:sz w:val="19"/>
        </w:rPr>
        <w:t xml:space="preserve">Übertragbarkeit: </w:t>
      </w:r>
      <w:r>
        <w:rPr>
          <w:sz w:val="19"/>
        </w:rPr>
        <w:t>Niederländische Klinikdaten, Versorgungskontinuität etabliert</w:t>
      </w:r>
    </w:p>
    <w:p>
      <w:r>
        <w:rPr>
          <w:color w:val="5A7D3A"/>
          <w:sz w:val="18"/>
        </w:rPr>
        <w:t>https://pubmed.ncbi.nlm.nih.gov/42683934/</w:t>
      </w:r>
    </w:p>
    <w:p>
      <w:pPr>
        <w:pStyle w:val="Heading2"/>
      </w:pPr>
      <w:r>
        <w:t>Bauchlagerung bei schwerem Übergewicht mit ARDS machbar und sicher</w:t>
      </w:r>
    </w:p>
    <w:p>
      <w:r>
        <w:rPr>
          <w:i/>
          <w:color w:val="666666"/>
          <w:sz w:val="18"/>
        </w:rPr>
        <w:t>Lee C et al.  ·  Am J Crit Care  ·  01.09.2026  ·  PMID 42676144</w:t>
      </w:r>
    </w:p>
    <w:p>
      <w:r>
        <w:t>Retrospektive Kohortenstudie von 1.448 ARDS-Patienten mit unterschiedlichen Adipositas-Graden; Feasibility und Sicherheit von manueller Bauchlagerung.</w:t>
      </w:r>
    </w:p>
    <w:p>
      <w:r>
        <w:rPr>
          <w:b/>
        </w:rPr>
        <w:t xml:space="preserve">Ergebnis: </w:t>
      </w:r>
      <w:r>
        <w:t>Bauchlagerung war machbar und sicher über alle Adipositas-Klassen. Patienten mit Adipositas Grad III zeigten größte Verbesserungen in Gasaustausch (37% PaO2/FiO2-Anstieg vs. 28% bei Normalgewicht, p&lt;0,05). Komplikationsraten niedrig in allen Gruppen. ICU- und Krankenhausverweildauer verkürzt.</w:t>
      </w:r>
    </w:p>
    <w:p>
      <w:r>
        <w:rPr>
          <w:b/>
          <w:sz w:val="19"/>
        </w:rPr>
        <w:t xml:space="preserve">Übertragbarkeit: </w:t>
      </w:r>
      <w:r>
        <w:rPr>
          <w:sz w:val="19"/>
        </w:rPr>
        <w:t>USA, aber Sicherheitseffekt ist gewichtssystemunabhängig übertragbar</w:t>
      </w:r>
    </w:p>
    <w:p>
      <w:r>
        <w:rPr>
          <w:color w:val="5A7D3A"/>
          <w:sz w:val="18"/>
        </w:rPr>
        <w:t>https://pubmed.ncbi.nlm.nih.gov/42676144/</w:t>
      </w:r>
    </w:p>
    <w:p>
      <w:pPr>
        <w:pStyle w:val="Heading2"/>
      </w:pPr>
      <w:r>
        <w:t>Kardiovaskulär-renales-metabolisches Syndrom erhöht Pankreaskrebsrisiko dosisabhängig</w:t>
      </w:r>
    </w:p>
    <w:p>
      <w:r>
        <w:rPr>
          <w:i/>
          <w:color w:val="666666"/>
          <w:sz w:val="18"/>
        </w:rPr>
        <w:t>Choi M et al.  ·  Diabetes Metab Res Rev  ·  Sept. 2026  ·  PMID 42549759</w:t>
      </w:r>
    </w:p>
    <w:p>
      <w:r>
        <w:t>Prospektive Kohorte mit 326.148 UK-Biobank-Teilnehmern; 1.234 Pankreaskrebsfälle über 13,5 Jahre Follow-up zur Assoziation zwischen CKM-Stadien und Pankreaskrebsinzidenz.</w:t>
      </w:r>
    </w:p>
    <w:p>
      <w:r>
        <w:rPr>
          <w:b/>
        </w:rPr>
        <w:t xml:space="preserve">Ergebnis: </w:t>
      </w:r>
      <w:r>
        <w:t>Pankreaskrebsinzidenz stieg von 9,0 (Stadium 0) auf 48,6 pro 100.000 Personenjahre (Stadium 4). Adjustierte SHR für Stadium 1-2: 1,97-2,02; Stadium 3-4: 2,08 (p&lt;0,001). Assoziation bestand über Alters-, Geschlechts- und Raucherstatus hinweg. Metabolischer Funktionsverlust als Risikostratifizierer.</w:t>
      </w:r>
    </w:p>
    <w:p>
      <w:r>
        <w:rPr>
          <w:b/>
          <w:sz w:val="19"/>
        </w:rPr>
        <w:t xml:space="preserve">Übertragbarkeit: </w:t>
      </w:r>
      <w:r>
        <w:rPr>
          <w:sz w:val="19"/>
        </w:rPr>
        <w:t>UK-Biobank, generalisierbar auf europäische Settings mit ähnlicher Risikoprofilierung</w:t>
      </w:r>
    </w:p>
    <w:p>
      <w:r>
        <w:rPr>
          <w:color w:val="5A7D3A"/>
          <w:sz w:val="18"/>
        </w:rPr>
        <w:t>https://pubmed.ncbi.nlm.nih.gov/42549759/</w:t>
      </w:r>
    </w:p>
    <w:p>
      <w:pPr>
        <w:pStyle w:val="Heading2"/>
      </w:pPr>
      <w:r>
        <w:t>Niedriges Bildungsniveau erhöht Adipositas-Risiko um 61% trotz Lifestyle-Anpassung</w:t>
      </w:r>
    </w:p>
    <w:p>
      <w:r>
        <w:rPr>
          <w:i/>
          <w:color w:val="666666"/>
          <w:sz w:val="18"/>
        </w:rPr>
        <w:t>Vicente-Herrero MT et al.  ·  Med Sci (Basel)  ·  27.06.2026  ·  PMID 42506320</w:t>
      </w:r>
    </w:p>
    <w:p>
      <w:r>
        <w:t>Querschnittsstudie von 3.108 berufstätigen Erwachsenen in Spanien zu Assoziation zwischen Bildungsstand und Adipositas und Attenuation durch Lifestyle-Faktoren.</w:t>
      </w:r>
    </w:p>
    <w:p>
      <w:r>
        <w:rPr>
          <w:b/>
        </w:rPr>
        <w:t xml:space="preserve">Ergebnis: </w:t>
      </w:r>
      <w:r>
        <w:t>Adipositas-Prävalenz: 11,5% (höhere Bildung) vs. 19,8% (Grund-/keine Bildung). Rohes OR 1,89 (95% CI 1,46-2,45). Nach Adjust für Alter/Geschlecht OR 1,72; nach Hinzunahme von Rauchen, körperlicher Aktivität (IPAQ) und Mittelmeer-Diät (MEDAS-14) OR 1,63. Vollständig adjustiert OR 1,61 (95% CI 1,18-2,21) – statistisch signifikant, aber attenuiert.</w:t>
      </w:r>
    </w:p>
    <w:p>
      <w:r>
        <w:rPr>
          <w:b/>
          <w:sz w:val="19"/>
        </w:rPr>
        <w:t xml:space="preserve">Übertragbarkeit: </w:t>
      </w:r>
      <w:r>
        <w:rPr>
          <w:sz w:val="19"/>
        </w:rPr>
        <w:t>Spanien, europäisches Versicherungssystem, Sozialgradienten vergleichbar</w:t>
      </w:r>
    </w:p>
    <w:p>
      <w:r>
        <w:rPr>
          <w:color w:val="5A7D3A"/>
          <w:sz w:val="18"/>
        </w:rPr>
        <w:t>https://pubmed.ncbi.nlm.nih.gov/42506320/</w:t>
      </w:r>
    </w:p>
    <w:p>
      <w:pPr>
        <w:pStyle w:val="Heading2"/>
      </w:pPr>
      <w:r>
        <w:t>Primärärzte sehen GLP-1-Mittel als Diskussionsstarter, berichten aber über Unsicherheiten</w:t>
      </w:r>
    </w:p>
    <w:p>
      <w:r>
        <w:rPr>
          <w:i/>
          <w:color w:val="666666"/>
          <w:sz w:val="18"/>
        </w:rPr>
        <w:t>Hellgren J et al.  ·  Scand J Prim Health Care  ·  17.07.2026  ·  PMID 42464703</w:t>
      </w:r>
    </w:p>
    <w:p>
      <w:r>
        <w:t>Qualitative Studie mit 11 Fachinterviews bei Hausärzten in Schweden zu Erfahrungen und Haltungen zu Anti-Adiposita-Medikamenten im klinischen Alltag.</w:t>
      </w:r>
    </w:p>
    <w:p>
      <w:r>
        <w:rPr>
          <w:b/>
        </w:rPr>
        <w:t xml:space="preserve">Ergebnis: </w:t>
      </w:r>
      <w:r>
        <w:t>Ärzte berichten, dass GLP-1-Medikamente personenzentrierte Gespräche über Gewichtsmanagement erleichtern, nennen aber Herausforderungen durch begrenzte klinische Erfahrung, unkare Behandlungsdauer und fehlende Richtlinien. Hauptthema: Verschiebung klinischer Verantwortung bei komplexer Adipositas.</w:t>
      </w:r>
    </w:p>
    <w:p>
      <w:r>
        <w:rPr>
          <w:b/>
          <w:sz w:val="19"/>
        </w:rPr>
        <w:t xml:space="preserve">Übertragbarkeit: </w:t>
      </w:r>
      <w:r>
        <w:rPr>
          <w:sz w:val="19"/>
        </w:rPr>
        <w:t>Skandinavisches Versicherungssystem, ähnliche Aufbaustruktur der Primärversorgung</w:t>
      </w:r>
    </w:p>
    <w:p>
      <w:r>
        <w:rPr>
          <w:color w:val="5A7D3A"/>
          <w:sz w:val="18"/>
        </w:rPr>
        <w:t>https://pubmed.ncbi.nlm.nih.gov/42464703/</w:t>
      </w:r>
    </w:p>
    <w:p>
      <w:pPr>
        <w:pStyle w:val="Heading2"/>
      </w:pPr>
      <w:r>
        <w:t>Gewichtsverlust vor psychotischer Episode prognostiziert doppelte Gewichtszunahme</w:t>
      </w:r>
    </w:p>
    <w:p>
      <w:r>
        <w:rPr>
          <w:i/>
          <w:color w:val="666666"/>
          <w:sz w:val="18"/>
        </w:rPr>
        <w:t>O'Mahony B et al.  ·  BMJ Ment Health  ·  16.07.2026  ·  PMID 42463299</w:t>
      </w:r>
    </w:p>
    <w:p>
      <w:r>
        <w:t>Retrospektive Kohortenstudie von 369 Patienten mit First-Episode Psychosis (FEP) aus UK CPRD zu Gewichtsverlauf vor und nach Diagnose.</w:t>
      </w:r>
    </w:p>
    <w:p>
      <w:r>
        <w:rPr>
          <w:b/>
        </w:rPr>
        <w:t xml:space="preserve">Ergebnis: </w:t>
      </w:r>
      <w:r>
        <w:t>53% verloren vor FEP-Diagnose an Gewicht. Mit vorigem Gewichtsverlust verdoppelte sich die post-Diagnose-Zunahme (8,93% vs. 4,07% jährlich; p=0,005). Je 1% Prä-Verlust sagte 0,41% zusätzliche Jahresgewichtszunahme voraus (p=0,004). Durchschnittliche Gewinne überstiegen Vorgängig-Verluste nach 1 Jahr (6,49 kg vs. 4,83 kg).</w:t>
      </w:r>
    </w:p>
    <w:p>
      <w:r>
        <w:rPr>
          <w:b/>
          <w:sz w:val="19"/>
        </w:rPr>
        <w:t xml:space="preserve">Übertragbarkeit: </w:t>
      </w:r>
      <w:r>
        <w:rPr>
          <w:sz w:val="19"/>
        </w:rPr>
        <w:t>UK-Primärversorgungsdaten, deutsches System vergleichbar bei Dokumentation</w:t>
      </w:r>
    </w:p>
    <w:p>
      <w:r>
        <w:rPr>
          <w:color w:val="5A7D3A"/>
          <w:sz w:val="18"/>
        </w:rPr>
        <w:t>https://pubmed.ncbi.nlm.nih.gov/42463299/</w:t>
      </w:r>
    </w:p>
    <w:p>
      <w:pPr>
        <w:pStyle w:val="Heading1"/>
      </w:pPr>
      <w:r>
        <w:t>Aufgenommen am 02.09.2026</w:t>
      </w:r>
    </w:p>
    <w:p>
      <w:pPr>
        <w:pStyle w:val="Heading2"/>
      </w:pPr>
      <w:r>
        <w:t>Mütterliche Adipositas: erhöhtes Sterblichkeitsrisiko der Nachkommen bis ins junge Erwachsenenalter</w:t>
      </w:r>
    </w:p>
    <w:p>
      <w:r>
        <w:rPr>
          <w:i/>
          <w:color w:val="666666"/>
          <w:sz w:val="18"/>
        </w:rPr>
        <w:t>Wang H et al.  ·  PLoS Med  ·  01.09.2026  ·  PMID 42678958</w:t>
      </w:r>
    </w:p>
    <w:p>
      <w:r>
        <w:t>Kohorte von 2,61 Millionen schwedischen Neugeborenen (1982–2014) mit Verfolgung bis 2023 auf Assoziationen zwischen mütterlichem BMI und Sterblichkeit der Nachkommen.</w:t>
      </w:r>
    </w:p>
    <w:p>
      <w:r>
        <w:rPr>
          <w:b/>
        </w:rPr>
        <w:t xml:space="preserve">Ergebnis: </w:t>
      </w:r>
      <w:r>
        <w:t>21.981 Todesfälle (0,8 %) dokumentiert. Mütterliche Adipositas Grad III (BMI ≥40): HR 1,92 (95% KI [1,59–2,33]; p&lt;0,001) für Gesamtsterblichkeit vs. Normalgewicht; Dosis-Wirkungs-Beziehung über alle Grade.</w:t>
      </w:r>
    </w:p>
    <w:p>
      <w:r>
        <w:rPr>
          <w:b/>
          <w:sz w:val="19"/>
        </w:rPr>
        <w:t xml:space="preserve">Übertragbarkeit: </w:t>
      </w:r>
      <w:r>
        <w:rPr>
          <w:sz w:val="19"/>
        </w:rPr>
        <w:t>Skandinavien, registergestützte Langzeitdaten, ähnliches Versicherungssystem</w:t>
      </w:r>
    </w:p>
    <w:p>
      <w:r>
        <w:rPr>
          <w:color w:val="5A7D3A"/>
          <w:sz w:val="18"/>
        </w:rPr>
        <w:t>https://pubmed.ncbi.nlm.nih.gov/42678958/</w:t>
      </w:r>
    </w:p>
    <w:p>
      <w:pPr>
        <w:pStyle w:val="Heading2"/>
      </w:pPr>
      <w:r>
        <w:t>Werbeverbote für Junkfood im TV: 271.000 Übergewichtsfälle in mexikanischen Kindern vermieden</w:t>
      </w:r>
    </w:p>
    <w:p>
      <w:r>
        <w:rPr>
          <w:i/>
          <w:color w:val="666666"/>
          <w:sz w:val="18"/>
        </w:rPr>
        <w:t>Alonso-Bastida A et al.  ·  JAMA Netw Open  ·  01.09.2026  ·  PMID 42678697</w:t>
      </w:r>
    </w:p>
    <w:p>
      <w:r>
        <w:t>Simulationsmodell zur Auswirkung kompletter Entfernung von TV-Werbung für ungesunde Lebensmittel auf Energiezufuhr und Adipositas bei 10- bis 17-Jährigen in Mexiko.</w:t>
      </w:r>
    </w:p>
    <w:p>
      <w:r>
        <w:rPr>
          <w:b/>
        </w:rPr>
        <w:t xml:space="preserve">Ergebnis: </w:t>
      </w:r>
      <w:r>
        <w:t>Werbeentfernung assoziiert mit projiziertem Rückgang von 47 kcal/Tag (95% UI [3–92]), Gewichtsreduktion 1,2 kg/Kind in 1 Jahr (95% UI [0,1–2,2]). Adipositasprävalenz sank um 8,3 % (95% UI [0,3–18,1%]), entsprechend 271.000 vermiedenen Fällen.</w:t>
      </w:r>
    </w:p>
    <w:p>
      <w:r>
        <w:rPr>
          <w:b/>
          <w:sz w:val="19"/>
        </w:rPr>
        <w:t xml:space="preserve">Übertragbarkeit: </w:t>
      </w:r>
      <w:r>
        <w:rPr>
          <w:sz w:val="19"/>
        </w:rPr>
        <w:t>Lateinamerika, Präventionsstrategie auf Bevölkerungsebene, übertragbar auf DACH</w:t>
      </w:r>
    </w:p>
    <w:p>
      <w:r>
        <w:rPr>
          <w:color w:val="5A7D3A"/>
          <w:sz w:val="18"/>
        </w:rPr>
        <w:t>https://pubmed.ncbi.nlm.nih.gov/42678697/</w:t>
      </w:r>
    </w:p>
    <w:p>
      <w:pPr>
        <w:pStyle w:val="Heading2"/>
      </w:pPr>
      <w:r>
        <w:t>Gewichtszunahme nach Absetzen von Semaglutid/Tirzepatid: 50 % Rückgang in 7,5 Monaten</w:t>
      </w:r>
    </w:p>
    <w:p>
      <w:r>
        <w:rPr>
          <w:i/>
          <w:color w:val="666666"/>
          <w:sz w:val="18"/>
        </w:rPr>
        <w:t>Kow CS et al.  ·  Endocrinol Diabetes Metab  ·  Sept. 2026  ·  PMID 42673571</w:t>
      </w:r>
    </w:p>
    <w:p>
      <w:r>
        <w:t>Bayesische Metaanalyse von 6 Studien mit 1.776 Teilnehmern zur Gewichtsrückgang-Trajektorie nach Absetzen von GLP-1-Rezeptoragonisten.</w:t>
      </w:r>
    </w:p>
    <w:p>
      <w:r>
        <w:rPr>
          <w:b/>
        </w:rPr>
        <w:t xml:space="preserve">Ergebnis: </w:t>
      </w:r>
      <w:r>
        <w:t>Bei Absetzen durchschnittlich 15,35 kg Gewichtsverlust (95% CrI [11,18–19,60]); danach Rückgang 1,04 kg/Monat (95% CrI [0,80–1,29]). 50 % des Gewichtsverlusts projiziert bis 7,50 Monate (95% CrI [5,05–10,57]), Rückkehr zum Ausgangsgewicht in 15,00 Monaten (95% CrI [10,10–21,13]).</w:t>
      </w:r>
    </w:p>
    <w:p>
      <w:r>
        <w:rPr>
          <w:b/>
          <w:sz w:val="19"/>
        </w:rPr>
        <w:t xml:space="preserve">Übertragbarkeit: </w:t>
      </w:r>
      <w:r>
        <w:rPr>
          <w:sz w:val="19"/>
        </w:rPr>
        <w:t>USA/international, Abbruchquoten und Gewichtsverlauf zentral für Versorgungsentscheidung</w:t>
      </w:r>
    </w:p>
    <w:p>
      <w:r>
        <w:rPr>
          <w:color w:val="5A7D3A"/>
          <w:sz w:val="18"/>
        </w:rPr>
        <w:t>https://pubmed.ncbi.nlm.nih.gov/42673571/</w:t>
      </w:r>
    </w:p>
    <w:p>
      <w:pPr>
        <w:pStyle w:val="Heading2"/>
      </w:pPr>
      <w:r>
        <w:t>Adipositasversorgung in französischen Zentren: COVID-19-Pandemie störte Behandlungsabläufe</w:t>
      </w:r>
    </w:p>
    <w:p>
      <w:r>
        <w:rPr>
          <w:i/>
          <w:color w:val="666666"/>
          <w:sz w:val="18"/>
        </w:rPr>
        <w:t>Alessandrin A et al.  ·  Sante Publique  ·  2026  ·  PMID 42547407</w:t>
      </w:r>
    </w:p>
    <w:p>
      <w:r>
        <w:t>Qualitative und quantitative Studie zu Auswirkungen von Lockdowns und Ausgangssperren auf Patienten in spezialisierten Adipositaszentren (CSOs) in Nouvelle-Aquitaine, Frankreich.</w:t>
      </w:r>
    </w:p>
    <w:p>
      <w:r>
        <w:rPr>
          <w:b/>
        </w:rPr>
        <w:t xml:space="preserve">Ergebnis: </w:t>
      </w:r>
      <w:r>
        <w:t>Lockdowns und Ausgangssperren führten zu Unterbrechungen in den Behandlungsabläufen; die Studie zeigt spezifische Versorgungsprobleme dieser Patientengruppe während der Pandemie auf.</w:t>
      </w:r>
    </w:p>
    <w:p>
      <w:r>
        <w:rPr>
          <w:b/>
          <w:sz w:val="19"/>
        </w:rPr>
        <w:t xml:space="preserve">Übertragbarkeit: </w:t>
      </w:r>
      <w:r>
        <w:rPr>
          <w:sz w:val="19"/>
        </w:rPr>
        <w:t>Frankreich, vergleichbares öffentliches Gesundheitssystem und Versorgungsstruktur</w:t>
      </w:r>
    </w:p>
    <w:p>
      <w:r>
        <w:rPr>
          <w:color w:val="5A7D3A"/>
          <w:sz w:val="18"/>
        </w:rPr>
        <w:t>https://pubmed.ncbi.nlm.nih.gov/42547407/</w:t>
      </w:r>
    </w:p>
    <w:p>
      <w:pPr>
        <w:pStyle w:val="Heading2"/>
      </w:pPr>
      <w:r>
        <w:t>Adipositas erklärt Ungleichheiten in Kardiometabolika: 53–72 % der Assoziation mit Bildung</w:t>
      </w:r>
    </w:p>
    <w:p>
      <w:r>
        <w:rPr>
          <w:i/>
          <w:color w:val="666666"/>
          <w:sz w:val="18"/>
        </w:rPr>
        <w:t>Vicente-Herrero MT et al.  ·  Med Sci (Basel)  ·  09.07.2026  ·  PMID 42506351</w:t>
      </w:r>
    </w:p>
    <w:p>
      <w:r>
        <w:t>Querschnittstudie mit 3.108 arbeitstätigen Erwachsenen in Spanien zur Mediationsrolle von Adipositas in der Assoziation zwischen Sozioökonomie und kardiometabolischen Ergebnissen.</w:t>
      </w:r>
    </w:p>
    <w:p>
      <w:r>
        <w:rPr>
          <w:b/>
        </w:rPr>
        <w:t xml:space="preserve">Ergebnis: </w:t>
      </w:r>
      <w:r>
        <w:t>Starker sozioökonomischer Gradient für alle kardiometabolischen Ergebnisse (p für Trend &lt;0,001). Einbeziehung von Adipositas reduzierte Effektschätzer um ca. 53–72 % für Fettleber, Insulinresistenz und metabolisches Syndrom. Adipositas war mit ~28 % Abschwächung der Fettleberassoziation verbunden.</w:t>
      </w:r>
    </w:p>
    <w:p>
      <w:r>
        <w:rPr>
          <w:b/>
          <w:sz w:val="19"/>
        </w:rPr>
        <w:t xml:space="preserve">Übertragbarkeit: </w:t>
      </w:r>
      <w:r>
        <w:rPr>
          <w:sz w:val="19"/>
        </w:rPr>
        <w:t>Südeuropa, arbeitstätige Bevölkerung, vergleichbare Sozialstruktur</w:t>
      </w:r>
    </w:p>
    <w:p>
      <w:r>
        <w:rPr>
          <w:color w:val="5A7D3A"/>
          <w:sz w:val="18"/>
        </w:rPr>
        <w:t>https://pubmed.ncbi.nlm.nih.gov/42506351/</w:t>
      </w:r>
    </w:p>
    <w:p>
      <w:pPr>
        <w:pStyle w:val="Heading2"/>
      </w:pPr>
      <w:r>
        <w:t>Hyperandrogenismus und Adipositas erhöhen Präeklampsie-Risiko nach Embryotransfer um das 7,5-Fache</w:t>
      </w:r>
    </w:p>
    <w:p>
      <w:r>
        <w:rPr>
          <w:i/>
          <w:color w:val="666666"/>
          <w:sz w:val="18"/>
        </w:rPr>
        <w:t>Aihaiti R et al.  ·  J Clin Hypertens (Greenwich)  ·  Juli 2026  ·  PMID 42496046</w:t>
      </w:r>
    </w:p>
    <w:p>
      <w:r>
        <w:t>Retrospektive Kohorte von 1.556 Frauen, die sich einer Befruchtung mit gefrorenem Embryo unterzogen, zur Auswirkung kombinierter Hyperandrogenismus und Übergewicht/Adipositas auf Schwangerschaftskomplikationen.</w:t>
      </w:r>
    </w:p>
    <w:p>
      <w:r>
        <w:rPr>
          <w:b/>
        </w:rPr>
        <w:t xml:space="preserve">Ergebnis: </w:t>
      </w:r>
      <w:r>
        <w:t>Kombiniert Hyperandrogenismus + Übergewicht/Adipositas: 13,3 % Präeklampsie (aOR 7,53; 95% KI [3,72–15,23]) vs. Kontrolle (1,8 %); Frühgeburtlichkeit 23,3 % (aOR 3,67; 95% KI [1,85–7,28]) vs. 6,3 %. Isolierte Adipositas: aOR 3,45 für Gestationsbluthochdruck.</w:t>
      </w:r>
    </w:p>
    <w:p>
      <w:r>
        <w:rPr>
          <w:b/>
          <w:sz w:val="19"/>
        </w:rPr>
        <w:t xml:space="preserve">Übertragbarkeit: </w:t>
      </w:r>
      <w:r>
        <w:rPr>
          <w:sz w:val="19"/>
        </w:rPr>
        <w:t>China, Fertilitätspopulation, zeigt Adipositas-Effekt auch ohne GLP-1-Verfügbarkeit</w:t>
      </w:r>
    </w:p>
    <w:p>
      <w:r>
        <w:rPr>
          <w:color w:val="5A7D3A"/>
          <w:sz w:val="18"/>
        </w:rPr>
        <w:t>https://pubmed.ncbi.nlm.nih.gov/42496046/</w:t>
      </w:r>
    </w:p>
    <w:p>
      <w:pPr>
        <w:pStyle w:val="Heading2"/>
      </w:pPr>
      <w:r>
        <w:t>Thromboembolieprophylaxe nach Adipositaschirurgie: postoperative Gabe reduziert Blutung ohne VTE-Anstieg</w:t>
      </w:r>
    </w:p>
    <w:p>
      <w:r>
        <w:rPr>
          <w:i/>
          <w:color w:val="666666"/>
          <w:sz w:val="18"/>
        </w:rPr>
        <w:t>Skogar ML et al.  ·  BJS Open  ·  03.07.2026  ·  PMID 42479664</w:t>
      </w:r>
    </w:p>
    <w:p>
      <w:r>
        <w:t>Nationale retrospektive Kohortenstudie mit 83.801 Patienten aus dem schwedischen Adipositaschirurgie-Register zur optimalen Timing und Dauer der Thromboprophylaxe.</w:t>
      </w:r>
    </w:p>
    <w:p>
      <w:r>
        <w:rPr>
          <w:b/>
        </w:rPr>
        <w:t xml:space="preserve">Ergebnis: </w:t>
      </w:r>
      <w:r>
        <w:t>VTE-Inzidenz 0,1 % (76 Patienten), postoperative Blutung 1,6 % (1.373). Postoperatives Starten vs. präoperativ assoziiert mit niedrigerem intraoperativem Blutungsrisiko (aOR 0,52; 95% KI [0,37–0,74]). Keine signifikante Assoziation zwischen Prophylaxe-Dauer und VTE oder postoperativer Blutung.</w:t>
      </w:r>
    </w:p>
    <w:p>
      <w:r>
        <w:rPr>
          <w:b/>
          <w:sz w:val="19"/>
        </w:rPr>
        <w:t xml:space="preserve">Übertragbarkeit: </w:t>
      </w:r>
      <w:r>
        <w:rPr>
          <w:sz w:val="19"/>
        </w:rPr>
        <w:t>Skandinavien, nationale Registerdaten, vergleichbare Chirurgie-Standards</w:t>
      </w:r>
    </w:p>
    <w:p>
      <w:r>
        <w:rPr>
          <w:color w:val="5A7D3A"/>
          <w:sz w:val="18"/>
        </w:rPr>
        <w:t>https://pubmed.ncbi.nlm.nih.gov/42479664/</w:t>
      </w:r>
    </w:p>
    <w:p>
      <w:pPr>
        <w:pStyle w:val="Heading1"/>
      </w:pPr>
      <w:r>
        <w:t>Aufgenommen am 01.09.2026</w:t>
      </w:r>
    </w:p>
    <w:p>
      <w:pPr>
        <w:pStyle w:val="Heading2"/>
      </w:pPr>
      <w:r>
        <w:t>ADHS-Symptome als Prädiktor für schlechtere BMI-Ergebnisse bei familienbasierter Verhaltensbehandlung schwerer Adipositas bei Jugendlichen</w:t>
      </w:r>
    </w:p>
    <w:p>
      <w:r>
        <w:rPr>
          <w:i/>
          <w:color w:val="666666"/>
          <w:sz w:val="18"/>
        </w:rPr>
        <w:t>Skodvin VA et al.  ·  Pediatr Obes  ·  Sept. 2026  ·  PMID 42675013</w:t>
      </w:r>
    </w:p>
    <w:p>
      <w:r>
        <w:t>Norwegische Studie mit 90 Jugendlichen (Median 13,2 Jahre) mit schwerer Adipositas in 17-Sitzungen-Familienbehandlung (FBT) zum Einfluss psychischer Symptome auf BMI-Abnahme.</w:t>
      </w:r>
    </w:p>
    <w:p>
      <w:r>
        <w:rPr>
          <w:b/>
        </w:rPr>
        <w:t xml:space="preserve">Ergebnis: </w:t>
      </w:r>
      <w:r>
        <w:t>Durchschnittliche BMI-Reduktion während FBT: -3,80 (%IOTF25) und -0,08 (BMIz). Höhere ADHS-Symptomwerte vorhersagend für kleinere BMI-Reduktion (0,31 Einheiten %IOTF25, p=0,02; 0,01 Einheiten BMIz, p=0,03 pro T-Score-Punkt). Selbstwertgefühl, emotionale Dysregulation, internalisierend/externalisierend Probleme nicht signifikant. Familienunterstützung sollte für Kinder mit ADHS intensiviert werden.</w:t>
      </w:r>
    </w:p>
    <w:p>
      <w:r>
        <w:rPr>
          <w:b/>
          <w:sz w:val="19"/>
        </w:rPr>
        <w:t xml:space="preserve">Übertragbarkeit: </w:t>
      </w:r>
      <w:r>
        <w:rPr>
          <w:sz w:val="19"/>
        </w:rPr>
        <w:t>Norwegen, Nordeuropa – vergleichbares Gesundheitssystem, ähnliche Versorgungsstruktur</w:t>
      </w:r>
    </w:p>
    <w:p>
      <w:r>
        <w:rPr>
          <w:color w:val="5A7D3A"/>
          <w:sz w:val="18"/>
        </w:rPr>
        <w:t>https://pubmed.ncbi.nlm.nih.gov/42675013/</w:t>
      </w:r>
    </w:p>
    <w:p>
      <w:pPr>
        <w:pStyle w:val="Heading2"/>
      </w:pPr>
      <w:r>
        <w:t>Adipositas-Gewichtsmanagement-Programme für Nierentransplantations-Kandidaten: Barrieren und Akzeptanz</w:t>
      </w:r>
    </w:p>
    <w:p>
      <w:r>
        <w:rPr>
          <w:i/>
          <w:color w:val="666666"/>
          <w:sz w:val="18"/>
        </w:rPr>
        <w:t>Lavenburg LM et al.  ·  Clin Transplant  ·  Sept. 2026  ·  PMID 42665576</w:t>
      </w:r>
    </w:p>
    <w:p>
      <w:r>
        <w:t>Monozentrische US-Studie zur Identifikation von Faktoren für Annahme und Inanspruchnahme von Gewichtsmanagement-Programmen bei 59 Nierentransplantations-Kandidaten mit Adipositas.</w:t>
      </w:r>
    </w:p>
    <w:p>
      <w:r>
        <w:rPr>
          <w:b/>
        </w:rPr>
        <w:t xml:space="preserve">Ergebnis: </w:t>
      </w:r>
      <w:r>
        <w:t>50,8 % (30/59) akzeptierten das Überweisungsangebot, aber nur 15,3 % (9/59) nahmen tatsächlich Kontakt auf. Höherer BMI (Median 47 vs. 45; p=0,002) und nähere Entfernung zur Transplantationsklinik (20 vs. 48 Meilen; p=0,010) erhöhten Akzeptanz. Multivariable Modelle: jede Meile Distanz reduzierte Akzeptanz um 2 % (OR 0,98; 95%-KI 0,96–1,00); jede BMI-Einheit erhöhte sie um 22 % (OR 1,22; 95%-KI 1,03–1,45).</w:t>
      </w:r>
    </w:p>
    <w:p>
      <w:r>
        <w:rPr>
          <w:b/>
          <w:sz w:val="19"/>
        </w:rPr>
        <w:t xml:space="preserve">Übertragbarkeit: </w:t>
      </w:r>
      <w:r>
        <w:rPr>
          <w:sz w:val="19"/>
        </w:rPr>
        <w:t>USA, eingeschränkt – Struktur und Kostenübernahme unterscheiden sich von deutschem System</w:t>
      </w:r>
    </w:p>
    <w:p>
      <w:r>
        <w:rPr>
          <w:color w:val="5A7D3A"/>
          <w:sz w:val="18"/>
        </w:rPr>
        <w:t>https://pubmed.ncbi.nlm.nih.gov/42665576/</w:t>
      </w:r>
    </w:p>
    <w:p>
      <w:pPr>
        <w:pStyle w:val="Heading2"/>
      </w:pPr>
      <w:r>
        <w:t>Depression bei schwangeren Frauen nach bariatrischer Chirurgie in VAE: Sleeve häufiger betroffen als Bypass</w:t>
      </w:r>
    </w:p>
    <w:p>
      <w:r>
        <w:rPr>
          <w:i/>
          <w:color w:val="666666"/>
          <w:sz w:val="18"/>
        </w:rPr>
        <w:t>Al Mansoori A et al.  ·  Womens Health (Lond)  ·  28.08.2026  ·  PMID 42664494</w:t>
      </w:r>
    </w:p>
    <w:p>
      <w:r>
        <w:t>Deskriptive Querschnittsstudie mit 41 schwangeren Frauen mit Anamnese bariatrischer Chirurgie in Abu Dhabi zur Prävalenz und Assoziationen perinatalaler Depression.</w:t>
      </w:r>
    </w:p>
    <w:p>
      <w:r>
        <w:rPr>
          <w:b/>
        </w:rPr>
        <w:t xml:space="preserve">Ergebnis: </w:t>
      </w:r>
      <w:r>
        <w:t>Depression bei 46,3 % der Teilnehmerinnen (Edinburgh Postnatal Depression Scale); 2,7 % schwere Depression. Sleeve-Gastrektomie-Gruppe zeigte höhere EPDS-Scores als Roux-en-Y-Bypass-Gruppe (U=220.000, p=0,015). Keine signifikanten Unterschiede nach Alter, Menopausenstatus oder soziodemografischen Merkmalen. Kleine Stichprobe, aber Befunde deuten auf erhöhtes Depressionsrisiko nach Sleeve.</w:t>
      </w:r>
    </w:p>
    <w:p>
      <w:r>
        <w:rPr>
          <w:b/>
          <w:sz w:val="19"/>
        </w:rPr>
        <w:t xml:space="preserve">Übertragbarkeit: </w:t>
      </w:r>
      <w:r>
        <w:rPr>
          <w:sz w:val="19"/>
        </w:rPr>
        <w:t>VAE, Mittlerer Osten – begrenzt vergleichbar, andere Versorgungsstrukturen</w:t>
      </w:r>
    </w:p>
    <w:p>
      <w:r>
        <w:rPr>
          <w:color w:val="5A7D3A"/>
          <w:sz w:val="18"/>
        </w:rPr>
        <w:t>https://pubmed.ncbi.nlm.nih.gov/42664494/</w:t>
      </w:r>
    </w:p>
    <w:p>
      <w:pPr>
        <w:pStyle w:val="Heading2"/>
      </w:pPr>
      <w:r>
        <w:t>Transkutane Vagusnervstimulation gegen Adipositas-assoziierte Entzündung: Studienprotokoll</w:t>
      </w:r>
    </w:p>
    <w:p>
      <w:r>
        <w:rPr>
          <w:i/>
          <w:color w:val="666666"/>
          <w:sz w:val="18"/>
        </w:rPr>
        <w:t>Kaluza L et al.  ·  BMC Psychol  ·  04.08.2026  ·  PMID 42552546</w:t>
      </w:r>
    </w:p>
    <w:p>
      <w:r>
        <w:t>Deutsches Studienprotokoll einer randomisierten, sham-kontrollierten Crossover-Studie zu tVNS bei Adipositas (BMI 27–35 kg/m²) zur Reduktion chronischer niedriger Entzündungsmarker.</w:t>
      </w:r>
    </w:p>
    <w:p>
      <w:r>
        <w:rPr>
          <w:b/>
        </w:rPr>
        <w:t xml:space="preserve">Ergebnis: </w:t>
      </w:r>
      <w:r>
        <w:t>Geplante Studie mit N=60 Teilnehmern; 14-Tage-Phasen mit hochintensiver vs. niedriger tVNS (≥30 min täglich). Primär: periphere und zentrale Entzündungsmarker sowie Motivation und Stimmung mit gemischten neurologischen und immunologischen Messungen. Multiples Outcome-Profil geplant (noch keine Ergebnisse).</w:t>
      </w:r>
    </w:p>
    <w:p>
      <w:r>
        <w:rPr>
          <w:b/>
          <w:sz w:val="19"/>
        </w:rPr>
        <w:t xml:space="preserve">Übertragbarkeit: </w:t>
      </w:r>
      <w:r>
        <w:rPr>
          <w:sz w:val="19"/>
        </w:rPr>
        <w:t>Deutsche Klinik, direkt übertragbar auf deutsches Gesundheitssystem</w:t>
      </w:r>
    </w:p>
    <w:p>
      <w:r>
        <w:rPr>
          <w:color w:val="5A7D3A"/>
          <w:sz w:val="18"/>
        </w:rPr>
        <w:t>https://pubmed.ncbi.nlm.nih.gov/42552546/</w:t>
      </w:r>
    </w:p>
    <w:p>
      <w:pPr>
        <w:pStyle w:val="Heading2"/>
      </w:pPr>
      <w:r>
        <w:t>Sozioökonomische Gradienten und Adipositas bei Älteren in Kasachstan: reverses Muster in früher Nutrition-Transition</w:t>
      </w:r>
    </w:p>
    <w:p>
      <w:r>
        <w:rPr>
          <w:i/>
          <w:color w:val="666666"/>
          <w:sz w:val="18"/>
        </w:rPr>
        <w:t>Zhumadilova A et al.  ·  Front Public Health  ·  10.07.2026  ·  PMID 42500011</w:t>
      </w:r>
    </w:p>
    <w:p>
      <w:r>
        <w:t>Querschnittsstudie mit 977 älteren Erwachsenen (50–74 Jahre) aus urban und rural gelegenen Gebieten der Astana-Region zur Prävalenz und sozioökonomischen Korrelaten von Übergewicht und Adipositas.</w:t>
      </w:r>
    </w:p>
    <w:p>
      <w:r>
        <w:rPr>
          <w:b/>
        </w:rPr>
        <w:t xml:space="preserve">Ergebnis: </w:t>
      </w:r>
      <w:r>
        <w:t>Gesamtprävalenz: 37 % übergewichtig, 44 % adipös, 72 % zentrale Adipositas. Reverses Muster (unerwartetes Ergebnis für ein Low-Income-Setting): höhere Vermögensausstattung assoziiert mit Übergewicht/Adipositas (Trend p=0,038 und p=0,002). Höhere Schulbildung protektiv; zentrale Adipositas stark mit Diabetes, Hypertonie, Hypercholesterinämie assoziiert (alle konsistent über Modelle). Ländlicher Raum protektiv gegen zentrale Adipositas (OR 0,43; 95%-KI 0,30–0,64).</w:t>
      </w:r>
    </w:p>
    <w:p>
      <w:r>
        <w:rPr>
          <w:b/>
          <w:sz w:val="19"/>
        </w:rPr>
        <w:t xml:space="preserve">Übertragbarkeit: </w:t>
      </w:r>
      <w:r>
        <w:rPr>
          <w:sz w:val="19"/>
        </w:rPr>
        <w:t>Kasachstan, Transitionsland – begrenzt vergleichbar, zeigt andere sozioökonomische Muster als wohlhabende Länder</w:t>
      </w:r>
    </w:p>
    <w:p>
      <w:r>
        <w:rPr>
          <w:color w:val="5A7D3A"/>
          <w:sz w:val="18"/>
        </w:rPr>
        <w:t>https://pubmed.ncbi.nlm.nih.gov/42500011/</w:t>
      </w:r>
    </w:p>
    <w:p>
      <w:pPr>
        <w:pStyle w:val="Heading2"/>
      </w:pPr>
      <w:r>
        <w:t>Adipositas bei Ösophagektomie: kein erhöhtes Operationsrisiko, aber mehr Thromboembolien</w:t>
      </w:r>
    </w:p>
    <w:p>
      <w:r>
        <w:rPr>
          <w:i/>
          <w:color w:val="666666"/>
          <w:sz w:val="18"/>
        </w:rPr>
        <w:t>Skogar ML et al.  ·  Scand J Surg  ·  20.07.2026  ·  PMID 42473743</w:t>
      </w:r>
    </w:p>
    <w:p>
      <w:r>
        <w:t>Schwedische Kohortenstudie mit Daten von 1.494 Ösophagektomie-Patienten (2006–2018) zum Zusammenhang zwischen BMI und perioperativen sowie langfristigen Ergebnissen.</w:t>
      </w:r>
    </w:p>
    <w:p>
      <w:r>
        <w:rPr>
          <w:b/>
        </w:rPr>
        <w:t xml:space="preserve">Ergebnis: </w:t>
      </w:r>
      <w:r>
        <w:t>Von 227 Patienten (15,2 %) mit Adipositas zeigten sich keine erhöhten chirurgischen Komplikationen (OR 0,92; 95%-KI 0,62–1,39), aber erhöhtes Risiko für nicht-chirurgische Komplikationen wie Lungenembolie (OR 1,64; 95%-KI 1,10–2,45). Adipositas war mit verbesserter Langzeitüberlebensrate assoziiert (HR 0,75; 95%-KI 0,57–0,98), möglicherweise durch reverse causation durch prä-diagnostischen Gewichtsverlust verzerrt.</w:t>
      </w:r>
    </w:p>
    <w:p>
      <w:r>
        <w:rPr>
          <w:b/>
          <w:sz w:val="19"/>
        </w:rPr>
        <w:t xml:space="preserve">Übertragbarkeit: </w:t>
      </w:r>
      <w:r>
        <w:rPr>
          <w:sz w:val="19"/>
        </w:rPr>
        <w:t>Skandinavische nationale Registerdaten, vergleichbare Kliniken-Infrastruktur mit Deutschland</w:t>
      </w:r>
    </w:p>
    <w:p>
      <w:r>
        <w:rPr>
          <w:color w:val="5A7D3A"/>
          <w:sz w:val="18"/>
        </w:rPr>
        <w:t>https://pubmed.ncbi.nlm.nih.gov/42473743/</w:t>
      </w:r>
    </w:p>
    <w:p>
      <w:pPr>
        <w:pStyle w:val="Heading1"/>
      </w:pPr>
      <w:r>
        <w:t>Aufgenommen am 31.08.2026</w:t>
      </w:r>
    </w:p>
    <w:p>
      <w:pPr>
        <w:pStyle w:val="Heading2"/>
      </w:pPr>
      <w:r>
        <w:t>Schulische Diät- und Bewegungsinterventionen in Afrika zeigen klinisch geringe Effekte auf BMI</w:t>
      </w:r>
    </w:p>
    <w:p>
      <w:r>
        <w:rPr>
          <w:i/>
          <w:color w:val="666666"/>
          <w:sz w:val="18"/>
        </w:rPr>
        <w:t>Onyeonu BA et al.  ·  BMC Public Health  ·  29.08.2026  ·  PMID 42668382</w:t>
      </w:r>
    </w:p>
    <w:p>
      <w:r>
        <w:t>Systematische Übersicht und Metaanalyse von 11 Studien (9 Interventionsprogramme) zu schulgestützten Diät- und Bewegungsprogrammen bei afrikanischen Kindern und Jugendlichen.</w:t>
      </w:r>
    </w:p>
    <w:p>
      <w:r>
        <w:rPr>
          <w:b/>
        </w:rPr>
        <w:t xml:space="preserve">Ergebnis: </w:t>
      </w:r>
      <w:r>
        <w:t>Überwiegend quasiexperimentelle oder Cluster-RCT-Designs (70 %), meist Grundschulalter. Einzelne Studien zeigten bescheidene Verbesserungen bei erhöhter Adipositas, aber Metaanalyse von 9 Vergleichen zeigte nicht-signifikanten Effekt auf BMI-für-Alter (MD 0,03; 95%-KI –0,24 bis 0,29; p=0,813; I²=69,0%). Kombinierte Ernährungs- und Bewegungsinterventionen zeigten reduktionen bei wenigen Vergleichen.</w:t>
      </w:r>
    </w:p>
    <w:p>
      <w:r>
        <w:rPr>
          <w:b/>
          <w:sz w:val="19"/>
        </w:rPr>
        <w:t xml:space="preserve">Übertragbarkeit: </w:t>
      </w:r>
      <w:r>
        <w:rPr>
          <w:sz w:val="19"/>
        </w:rPr>
        <w:t>Afrika, eingeschränkte Evidenzqualität, Übertragbarkeit limitiert</w:t>
      </w:r>
    </w:p>
    <w:p>
      <w:r>
        <w:rPr>
          <w:color w:val="5A7D3A"/>
          <w:sz w:val="18"/>
        </w:rPr>
        <w:t>https://pubmed.ncbi.nlm.nih.gov/42668382/</w:t>
      </w:r>
    </w:p>
    <w:p>
      <w:pPr>
        <w:pStyle w:val="Heading2"/>
      </w:pPr>
      <w:r>
        <w:t>Mikrobiom-Profile vorhersagen Gewichtsverlust nach strukturiertem Lebensstiländerungsprogramm</w:t>
      </w:r>
    </w:p>
    <w:p>
      <w:r>
        <w:rPr>
          <w:i/>
          <w:color w:val="666666"/>
          <w:sz w:val="18"/>
        </w:rPr>
        <w:t>Seethaler B et al.  ·  Microbiome  ·  28.08.2026  ·  PMID 42668355</w:t>
      </w:r>
    </w:p>
    <w:p>
      <w:r>
        <w:t>Eine 50 übergewichtige Erwachsene (BMI 42 ± 7,0) durchliefen ein einjähriges strukturiertes Lebensstiländerungsprogramm mit Mikrobiom- und Metabolomanalyse, um Prädiktoren für Gewichtsverlust und metabolische Verbesserung zu identifizieren.</w:t>
      </w:r>
    </w:p>
    <w:p>
      <w:r>
        <w:rPr>
          <w:b/>
        </w:rPr>
        <w:t xml:space="preserve">Ergebnis: </w:t>
      </w:r>
      <w:r>
        <w:t>Nach Intervention zeigten sich deutliche Reduktionen von Körpergewicht, Körperfettanteil, C-reaktivem Protein und HbA1c. Ein zufälliger Wald-Algorithmus mit Baseline-Mikrobiota- und klinischen Merkmalen sagte Gewichtsverlust und klinische Verbesserungen mit hoher Genauigkeit voraus. Das Metabolit Diacylphosphatidylcholin C40:1 könnte als Biomarker für Gewichtsverlusterfolg dienen.</w:t>
      </w:r>
    </w:p>
    <w:p>
      <w:r>
        <w:rPr>
          <w:b/>
          <w:sz w:val="19"/>
        </w:rPr>
        <w:t xml:space="preserve">Übertragbarkeit: </w:t>
      </w:r>
      <w:r>
        <w:rPr>
          <w:sz w:val="19"/>
        </w:rPr>
        <w:t>Deutschland, vergleichbare Klinikinfrastruktur und Dokumentation</w:t>
      </w:r>
    </w:p>
    <w:p>
      <w:r>
        <w:rPr>
          <w:color w:val="5A7D3A"/>
          <w:sz w:val="18"/>
        </w:rPr>
        <w:t>https://pubmed.ncbi.nlm.nih.gov/42668355/</w:t>
      </w:r>
    </w:p>
    <w:p>
      <w:pPr>
        <w:pStyle w:val="Heading2"/>
      </w:pPr>
      <w:r>
        <w:t>Körperzusammensetzung nach Schlauchmagen zeigt Muskelabbau trotz Gewichtsverlust</w:t>
      </w:r>
    </w:p>
    <w:p>
      <w:r>
        <w:rPr>
          <w:i/>
          <w:color w:val="666666"/>
          <w:sz w:val="18"/>
        </w:rPr>
        <w:t>Lippmann L et al.  ·  Langenbecks Arch Surg  ·  29.08.2026  ·  PMID 42667413</w:t>
      </w:r>
    </w:p>
    <w:p>
      <w:r>
        <w:t>49 Patienten mit Adipositas Grad III nach laparoskopischer Schlauchmagen wurden über 24 Monate mit Bioelektrischer-Impedanz-Analyse zur Erfassung von Körperzusammensetzungsveränderungen verfolgt.</w:t>
      </w:r>
    </w:p>
    <w:p>
      <w:r>
        <w:rPr>
          <w:b/>
        </w:rPr>
        <w:t xml:space="preserve">Ergebnis: </w:t>
      </w:r>
      <w:r>
        <w:t>Deutliche Reduktionen von Körpergewicht, Fettmasse und viszeralem Fettgewebe; jedoch auch signifikante Abnahmen von fettfreier Masse und Skelettmuskulatur. Phasenwinkeln zeigten transiente Veränderungen. Größte Veränderungen im ersten postoperativen Jahr, danach Stabilisierung. Untersucht wurden nur 49 Patienten an einem Zentrum.</w:t>
      </w:r>
    </w:p>
    <w:p>
      <w:r>
        <w:rPr>
          <w:b/>
          <w:sz w:val="19"/>
        </w:rPr>
        <w:t xml:space="preserve">Übertragbarkeit: </w:t>
      </w:r>
      <w:r>
        <w:rPr>
          <w:sz w:val="19"/>
        </w:rPr>
        <w:t>Deutschland, bariatrisches Zentrum, Operationstechnik übertragbar</w:t>
      </w:r>
    </w:p>
    <w:p>
      <w:r>
        <w:rPr>
          <w:color w:val="5A7D3A"/>
          <w:sz w:val="18"/>
        </w:rPr>
        <w:t>https://pubmed.ncbi.nlm.nih.gov/42667413/</w:t>
      </w:r>
    </w:p>
    <w:p>
      <w:pPr>
        <w:pStyle w:val="Heading2"/>
      </w:pPr>
      <w:r>
        <w:t>Taillenumfang und relative Fettmasse übertreffen BMI bei Diabetesrisikoerkennung</w:t>
      </w:r>
    </w:p>
    <w:p>
      <w:r>
        <w:rPr>
          <w:i/>
          <w:color w:val="666666"/>
          <w:sz w:val="18"/>
        </w:rPr>
        <w:t>Seiglie JA et al.  ·  Diabetes Care  ·  01.09.2026  ·  PMID 42623543</w:t>
      </w:r>
    </w:p>
    <w:p>
      <w:r>
        <w:t>Daten von 598.883 Erwachsenen aus 82 Ländern mit niedrigem und mittlerem Einkommen wurden analysiert, um Anthropometrie-Maße zur Diabetesklassifikation zu vergleichen.</w:t>
      </w:r>
    </w:p>
    <w:p>
      <w:r>
        <w:rPr>
          <w:b/>
        </w:rPr>
        <w:t xml:space="preserve">Ergebnis: </w:t>
      </w:r>
      <w:r>
        <w:t>Taillennumfang und relative Fettmasse hatten höhere AUC-Werte als BMI zur Diabetesklassifikation: Männer (WC 0,69, RFM 0,69 vs. BMI 0,64), Frauen (WC 0,69, RFM 0,69 vs. BMI 0,63). Unterschiede zeigten sich besonders in Zwischengewicht-Kategorien (BMI 18,5–29,9).</w:t>
      </w:r>
    </w:p>
    <w:p>
      <w:r>
        <w:rPr>
          <w:b/>
          <w:sz w:val="19"/>
        </w:rPr>
        <w:t xml:space="preserve">Übertragbarkeit: </w:t>
      </w:r>
      <w:r>
        <w:rPr>
          <w:sz w:val="19"/>
        </w:rPr>
        <w:t>82 Länder mit Gesundheitsumfrage-Daten, methodisch robust</w:t>
      </w:r>
    </w:p>
    <w:p>
      <w:r>
        <w:rPr>
          <w:color w:val="5A7D3A"/>
          <w:sz w:val="18"/>
        </w:rPr>
        <w:t>https://pubmed.ncbi.nlm.nih.gov/42623543/</w:t>
      </w:r>
    </w:p>
    <w:p>
      <w:pPr>
        <w:pStyle w:val="Heading2"/>
      </w:pPr>
      <w:r>
        <w:t>Metabolisches Syndrom erhöht Sterblichkeit bei Brustkrebsüberlebenden um 23 %</w:t>
      </w:r>
    </w:p>
    <w:p>
      <w:r>
        <w:rPr>
          <w:i/>
          <w:color w:val="666666"/>
          <w:sz w:val="18"/>
        </w:rPr>
        <w:t>Zhang T et al.  ·  Front Endocrinol (Lausanne)  ·  03.08.2026  ·  PMID 42609325</w:t>
      </w:r>
    </w:p>
    <w:p>
      <w:r>
        <w:t>6027 Brustkrebsüberlebende aus der UK Biobank wurden im Median 15,7 Jahre verfolgt, um die Assoziation des metabolischen Syndroms mit Sterblichkeit und Folgeerkrankungen zu untersuchen.</w:t>
      </w:r>
    </w:p>
    <w:p>
      <w:r>
        <w:rPr>
          <w:b/>
        </w:rPr>
        <w:t xml:space="preserve">Ergebnis: </w:t>
      </w:r>
      <w:r>
        <w:t>1251 Todesfälle beobachtet; 33,1 % hatten metabolisches Syndrom (MetS). MetS assoziiert mit erhöhter Gesamtsterblichkeit (HR 1,23; 95%-KI 1,08–1,41; p=0,002) und erhöhtem Risiko für Myokardinfarkt (HR 1,56), Vorhofflimmern (HR 1,61) und chronische Nierenkrankheit (HR 1,98).</w:t>
      </w:r>
    </w:p>
    <w:p>
      <w:r>
        <w:rPr>
          <w:b/>
          <w:sz w:val="19"/>
        </w:rPr>
        <w:t xml:space="preserve">Übertragbarkeit: </w:t>
      </w:r>
      <w:r>
        <w:rPr>
          <w:sz w:val="19"/>
        </w:rPr>
        <w:t>UK-Daten, aber Sterblichkeitsbefunde auf europäische Systeme übertragbar</w:t>
      </w:r>
    </w:p>
    <w:p>
      <w:r>
        <w:rPr>
          <w:color w:val="5A7D3A"/>
          <w:sz w:val="18"/>
        </w:rPr>
        <w:t>https://pubmed.ncbi.nlm.nih.gov/42609325/</w:t>
      </w:r>
    </w:p>
    <w:p>
      <w:pPr>
        <w:pStyle w:val="Heading2"/>
      </w:pPr>
      <w:r>
        <w:t>Adipositas-Management in Frankreich: GLP-1-Agonisten zeigen über 10% Gewichtsverlust, aber Adhärenzprobleme in der Realität</w:t>
      </w:r>
    </w:p>
    <w:p>
      <w:r>
        <w:rPr>
          <w:i/>
          <w:color w:val="666666"/>
          <w:sz w:val="18"/>
        </w:rPr>
        <w:t>Montastier E  ·  Biol Aujourdhui  ·  31.07.2026  ·  PMID 42536829</w:t>
      </w:r>
    </w:p>
    <w:p>
      <w:r>
        <w:t>Expertenübersicht zur Adipositasbehandlung mit französischen HAS-Empfehlungen (2022, 2024) zur gestuften Versorgung und Rolle von GLP-1-/GLP-1/GIP-Rezeptoragonisten.</w:t>
      </w:r>
    </w:p>
    <w:p>
      <w:r>
        <w:rPr>
          <w:b/>
        </w:rPr>
        <w:t xml:space="preserve">Ergebnis: </w:t>
      </w:r>
      <w:r>
        <w:t>Inkretin-Agonisten (GLP-1, GLP-1/GIP) erreichen durchschnittlich über 10% Gewichtsverlust und signifikante metabolische Verbesserungen. Begrenzte Anwendung durch häufige gastrointestinale Nebenwirkungen, Wiederzunahmerisiko nach Absetzen, Mikronährstoffmängel, Muskel-/Knochenverlust, hohe Kosten und häufig schlechte Adhärenz im realen Kontext. Müssen in umfassende nachhaltige Versorgung integriert werden.</w:t>
      </w:r>
    </w:p>
    <w:p>
      <w:r>
        <w:rPr>
          <w:b/>
          <w:sz w:val="19"/>
        </w:rPr>
        <w:t xml:space="preserve">Übertragbarkeit: </w:t>
      </w:r>
      <w:r>
        <w:rPr>
          <w:sz w:val="19"/>
        </w:rPr>
        <w:t>Frankreich, vergleichbares Sozialversicherungssystem, HAS-Empfehlungen</w:t>
      </w:r>
    </w:p>
    <w:p>
      <w:r>
        <w:rPr>
          <w:color w:val="5A7D3A"/>
          <w:sz w:val="18"/>
        </w:rPr>
        <w:t>https://pubmed.ncbi.nlm.nih.gov/42536829/</w:t>
      </w:r>
    </w:p>
    <w:p>
      <w:pPr>
        <w:pStyle w:val="Heading1"/>
      </w:pPr>
      <w:r>
        <w:t>Aufgenommen am 30.08.2026</w:t>
      </w:r>
    </w:p>
    <w:p>
      <w:pPr>
        <w:pStyle w:val="Heading2"/>
      </w:pPr>
      <w:r>
        <w:t>GLP-1-Rezeptor-Agonisten senken Parkinson-Risiko bei Typ-2-Diabetes um 32% – aber Kausalität unklar</w:t>
      </w:r>
    </w:p>
    <w:p>
      <w:r>
        <w:rPr>
          <w:i/>
          <w:color w:val="666666"/>
          <w:sz w:val="18"/>
        </w:rPr>
        <w:t>Chen Y et al.  ·  Front Endocrinol (Lausanne)  ·  13.08.2026  ·  PMID 42661791</w:t>
      </w:r>
    </w:p>
    <w:p>
      <w:r>
        <w:t>Systematische Übersicht und Metaanalyse von 6 Kohortenstudien (insges. 452.763 Teilnehmer) zur Assoziation GLP-1RA-Exposition und Parkinson-Erkrankungsrisiko.</w:t>
      </w:r>
    </w:p>
    <w:p>
      <w:r>
        <w:rPr>
          <w:b/>
        </w:rPr>
        <w:t xml:space="preserve">Ergebnis: </w:t>
      </w:r>
      <w:r>
        <w:t>GLP-1RA mit Parkinson-Risiko-Reduktion assoziiert (HR 0,68, 95%-KI 0,54–0,85, p=0,001). Subgruppenanalysen zeigen HR 0,60 vs. DPP-4-Inhibitoren, HR 0,83 vs. Metformin. Autoren betonen: observationales Design, Confounding, hypothesengenerierend, keine Kausalität bewiesen.</w:t>
      </w:r>
    </w:p>
    <w:p>
      <w:r>
        <w:rPr>
          <w:b/>
          <w:sz w:val="19"/>
        </w:rPr>
        <w:t xml:space="preserve">Übertragbarkeit: </w:t>
      </w:r>
      <w:r>
        <w:rPr>
          <w:sz w:val="19"/>
        </w:rPr>
        <w:t>Großbritannien, Kanada, Skandinavien; Kostenübernahme GLP-1 in Deutschland ausgeschlossen – akademisch interessant, praktisch nicht relevant.</w:t>
      </w:r>
    </w:p>
    <w:p>
      <w:r>
        <w:rPr>
          <w:color w:val="5A7D3A"/>
          <w:sz w:val="18"/>
        </w:rPr>
        <w:t>https://pubmed.ncbi.nlm.nih.gov/42661791/</w:t>
      </w:r>
    </w:p>
    <w:p>
      <w:pPr>
        <w:pStyle w:val="Heading2"/>
      </w:pPr>
      <w:r>
        <w:t>Adipositas, Typ-2-Diabetes und IGF-1-Signalweg kausal mit Karpaltunnelsyndrom verknüpft</w:t>
      </w:r>
    </w:p>
    <w:p>
      <w:r>
        <w:rPr>
          <w:i/>
          <w:color w:val="666666"/>
          <w:sz w:val="18"/>
        </w:rPr>
        <w:t>Wood AJ et al.  ·  Int J Epidemiol  ·  18.08.2026  ·  PMID 42658720</w:t>
      </w:r>
    </w:p>
    <w:p>
      <w:r>
        <w:t>Mendelian-Randomization-Studie zu genetischen Instrumenten für BMI, Typ-2-Diabetes, IGF-1 und Karpaltunnelsyndrom-Risiko.</w:t>
      </w:r>
    </w:p>
    <w:p>
      <w:r>
        <w:rPr>
          <w:b/>
        </w:rPr>
        <w:t xml:space="preserve">Ergebnis: </w:t>
      </w:r>
      <w:r>
        <w:t>BMI (WHR, WC) kausal für CTS; Effekt durch Typ-2-Diabetes teilweise vermittelt. IGF-1-Signalweg auch unabhängig assoziiert. Befunde stützen therapeutisches Potenzial der Metabolit-Modulation jenseits von Gewichtsverlust.</w:t>
      </w:r>
    </w:p>
    <w:p>
      <w:r>
        <w:rPr>
          <w:b/>
          <w:sz w:val="19"/>
        </w:rPr>
        <w:t xml:space="preserve">Übertragbarkeit: </w:t>
      </w:r>
      <w:r>
        <w:rPr>
          <w:sz w:val="19"/>
        </w:rPr>
        <w:t>UK-Biobank-Genetikdaten, bevölkerungsweit; pathophysiologisch-universell, aber Therapie-Implikationen noch spekulativ.</w:t>
      </w:r>
    </w:p>
    <w:p>
      <w:r>
        <w:rPr>
          <w:color w:val="5A7D3A"/>
          <w:sz w:val="18"/>
        </w:rPr>
        <w:t>https://pubmed.ncbi.nlm.nih.gov/42658720/</w:t>
      </w:r>
    </w:p>
    <w:p>
      <w:pPr>
        <w:pStyle w:val="Heading2"/>
      </w:pPr>
      <w:r>
        <w:t>Zenagamtide verbesserte HbA1c, aber Nebenwirkungen limitieren Einsatz in Praxis</w:t>
      </w:r>
    </w:p>
    <w:p>
      <w:r>
        <w:rPr>
          <w:i/>
          <w:color w:val="666666"/>
          <w:sz w:val="18"/>
        </w:rPr>
        <w:t>Mora P et al.  ·  Lancet  ·  15.08.2026  ·  PMID 42532079</w:t>
      </w:r>
    </w:p>
    <w:p>
      <w:r>
        <w:t>Phase-2-Studie zu oralem Zenagamtide (GLP-1/Amylin-Agonist) bei 186 Patienten mit Typ-2-Diabetes über 36 Wochen.</w:t>
      </w:r>
    </w:p>
    <w:p>
      <w:r>
        <w:rPr>
          <w:b/>
        </w:rPr>
        <w:t xml:space="preserve">Ergebnis: </w:t>
      </w:r>
      <w:r>
        <w:t>HbA1c-Senkung um 0,9–1,4% je nach Dosis; gastrointestinale Nebenwirkungen bei 26–47% (vs. 23% Placebo); 7 ernsthafte Unerwünschte Ereignisse unter Zenagamtide, keine unter Placebo. Die hohe Nebenwirkungsrate und Phase-2-Design sprechen gegen Übernahme in Versorgungsroutinen.</w:t>
      </w:r>
    </w:p>
    <w:p>
      <w:r>
        <w:rPr>
          <w:b/>
          <w:sz w:val="19"/>
        </w:rPr>
        <w:t xml:space="preserve">Übertragbarkeit: </w:t>
      </w:r>
      <w:r>
        <w:rPr>
          <w:sz w:val="19"/>
        </w:rPr>
        <w:t>USA-Studie, internationale Zentren; Kostenübernahme in Deutschland unwahrscheinlich (§34 SGB V).</w:t>
      </w:r>
    </w:p>
    <w:p>
      <w:r>
        <w:rPr>
          <w:color w:val="5A7D3A"/>
          <w:sz w:val="18"/>
        </w:rPr>
        <w:t>https://pubmed.ncbi.nlm.nih.gov/42532079/</w:t>
      </w:r>
    </w:p>
    <w:p>
      <w:pPr>
        <w:pStyle w:val="Heading2"/>
      </w:pPr>
      <w:r>
        <w:t>Adipositas mit Typ-2-Diabetes: CKD und Herzinsuffizienz-Risiko trotz niedrigerer Herz-Infarkt-Raten</w:t>
      </w:r>
    </w:p>
    <w:p>
      <w:r>
        <w:rPr>
          <w:i/>
          <w:color w:val="666666"/>
          <w:sz w:val="18"/>
        </w:rPr>
        <w:t>Ponzani P et al.  ·  Diabetes Res Clin Pract  ·  29.07.2026  ·  PMID 42526840</w:t>
      </w:r>
    </w:p>
    <w:p>
      <w:r>
        <w:t>Reale Daten von 519.005 Italienern mit Typ-2-Diabetes in 296 Zentren 2023 zur Assoziation von BMI-Kategorien mit Folgeerkrankungen.</w:t>
      </w:r>
    </w:p>
    <w:p>
      <w:r>
        <w:rPr>
          <w:b/>
        </w:rPr>
        <w:t xml:space="preserve">Ergebnis: </w:t>
      </w:r>
      <w:r>
        <w:t>Adipositas (35,4% der Kohorte) mit niedriger Rohprävalenz kardiovaskulärer Komplikationen, aber nach Anpassung assoziiert mit CKD (PR 1,13) und Herzinsuffizienz (PR 1,41). Atherotische Ereignisse schwächer. Paradoxe erklärt durch Confounding (jüngeres Alter, kürzere Diabetesdauer).</w:t>
      </w:r>
    </w:p>
    <w:p>
      <w:r>
        <w:rPr>
          <w:b/>
          <w:sz w:val="19"/>
        </w:rPr>
        <w:t xml:space="preserve">Übertragbarkeit: </w:t>
      </w:r>
      <w:r>
        <w:rPr>
          <w:sz w:val="19"/>
        </w:rPr>
        <w:t>Italienische Routinedaten von spezialisiertem Diabetes-Versorgungsnetz; hochgradig auf deutsches System übertragbar.</w:t>
      </w:r>
    </w:p>
    <w:p>
      <w:r>
        <w:rPr>
          <w:color w:val="5A7D3A"/>
          <w:sz w:val="18"/>
        </w:rPr>
        <w:t>https://pubmed.ncbi.nlm.nih.gov/42526840/</w:t>
      </w:r>
    </w:p>
    <w:p>
      <w:pPr>
        <w:pStyle w:val="Heading2"/>
      </w:pPr>
      <w:r>
        <w:t>Semaglutide nach Gestationsdiabetes: Belgische RCT zur Typ-2-Prävention in Postpartum-Prä-Diabetes</w:t>
      </w:r>
    </w:p>
    <w:p>
      <w:r>
        <w:rPr>
          <w:i/>
          <w:color w:val="666666"/>
          <w:sz w:val="18"/>
        </w:rPr>
        <w:t>Vanlaer Y et al.  ·  BMJ Open  ·  23.07.2026  ·  PMID 42493207</w:t>
      </w:r>
    </w:p>
    <w:p>
      <w:r>
        <w:t>Protokoll der SERENA-RCT: Belgische Multicenterstudie mit 252 Frauen nach GDM und postpartum-Prä-Diabetes, randomisiert 1:1 zu Semaglutide 1mg/Woche oder Placebo plus Lebensstiländerung über 160 Wochen, Kosteneffektivität co-primär.</w:t>
      </w:r>
    </w:p>
    <w:p>
      <w:r>
        <w:rPr>
          <w:b/>
        </w:rPr>
        <w:t xml:space="preserve">Ergebnis: </w:t>
      </w:r>
      <w:r>
        <w:t>Protokoll registriert (NCT05569772), Rekrutung seit 9/2023 laufend. Primäres Outcome: Typ-2-Diabetes-Entwicklung nach ADA-Kriterien. Sekundär: Gewichtsverlust, Insulinsensitivität, Patientenergebnisse, Kosteneffektivität stratifiziert nach BMI (&lt;25, 25–29,9, ≥30).</w:t>
      </w:r>
    </w:p>
    <w:p>
      <w:r>
        <w:rPr>
          <w:b/>
          <w:sz w:val="19"/>
        </w:rPr>
        <w:t xml:space="preserve">Übertragbarkeit: </w:t>
      </w:r>
      <w:r>
        <w:rPr>
          <w:sz w:val="19"/>
        </w:rPr>
        <w:t>Belgien, GKV-ähnlich; Gesamtergebnis abzuwarten – Design sehr relevant für deutsche Prä-Diabetes-Prävention.</w:t>
      </w:r>
    </w:p>
    <w:p>
      <w:r>
        <w:rPr>
          <w:color w:val="5A7D3A"/>
          <w:sz w:val="18"/>
        </w:rPr>
        <w:t>https://pubmed.ncbi.nlm.nih.gov/42493207/</w:t>
      </w:r>
    </w:p>
    <w:p>
      <w:pPr>
        <w:pStyle w:val="Heading2"/>
      </w:pPr>
      <w:r>
        <w:t>Adipositasversorgung in Belgien: BMI nur zu 25% dokumentiert, Screening-Lücke in Hausarztpraxen</w:t>
      </w:r>
    </w:p>
    <w:p>
      <w:r>
        <w:rPr>
          <w:i/>
          <w:color w:val="666666"/>
          <w:sz w:val="18"/>
        </w:rPr>
        <w:t>van Laar ADE et al.  ·  Clin Obes  ·  Aug. 2026  ·  PMID 42487214</w:t>
      </w:r>
    </w:p>
    <w:p>
      <w:r>
        <w:t>Querschnittsvergleich Adipositas-Komplikationen zwischen belgischen Hausarztpraxen (Intego-Register, n=208.891) und spezialisierter Adipositasklinik (n=3.605).</w:t>
      </w:r>
    </w:p>
    <w:p>
      <w:r>
        <w:rPr>
          <w:b/>
        </w:rPr>
        <w:t xml:space="preserve">Ergebnis: </w:t>
      </w:r>
      <w:r>
        <w:t>BMI wird in Hausarztpraxen nur bei 25,6% dokumentiert. Patienten mit dokumentiertem BMI (MW 27,1 kg/m²) haben höhere Prävalenz von Hypertonie (30,1% vs. 17,0%), Schlafapnoe (3,8% vs. 1,5%) und Typ-2-Diabetes (12,7% vs. 4,4%) als ohne BMI-Eintrag. Adipositas-Klink-Patienten (BMI 39,0) zeigen Schlafapnoe in 37,9%.</w:t>
      </w:r>
    </w:p>
    <w:p>
      <w:r>
        <w:rPr>
          <w:b/>
          <w:sz w:val="19"/>
        </w:rPr>
        <w:t xml:space="preserve">Übertragbarkeit: </w:t>
      </w:r>
      <w:r>
        <w:rPr>
          <w:sz w:val="19"/>
        </w:rPr>
        <w:t>Belgische GKV-ähnliche Routineversorgung; unmittelbar auf Deutschland übertragbar zur Qualitätssicherung.</w:t>
      </w:r>
    </w:p>
    <w:p>
      <w:r>
        <w:rPr>
          <w:color w:val="5A7D3A"/>
          <w:sz w:val="18"/>
        </w:rPr>
        <w:t>https://pubmed.ncbi.nlm.nih.gov/42487214/</w:t>
      </w:r>
    </w:p>
    <w:p>
      <w:pPr>
        <w:pStyle w:val="Heading1"/>
      </w:pPr>
      <w:r>
        <w:t>Aufgenommen am 29.08.2026</w:t>
      </w:r>
    </w:p>
    <w:p>
      <w:pPr>
        <w:pStyle w:val="Heading2"/>
      </w:pPr>
      <w:r>
        <w:t>E-Bike-Unfälle zeigen keine höhere Verletzungsschwere als Fahrradunfälle, höherer BMI protektiv</w:t>
      </w:r>
    </w:p>
    <w:p>
      <w:r>
        <w:rPr>
          <w:i/>
          <w:color w:val="666666"/>
          <w:sz w:val="18"/>
        </w:rPr>
        <w:t>Bauer D et al.  ·  Eur J Trauma Emerg Surg  ·  14.08.2026  ·  PMID 42599451</w:t>
      </w:r>
    </w:p>
    <w:p>
      <w:r>
        <w:t>Retrospektive Einzelzentrumskohorte (n=261): 37 E-Bike- vs. 224 Fahrrad-Fahrer*innen mit Traumazentrum-Aufnahme. Primär: Injury Severity Score (ISS), regionale Abbreviated Injury Scale. Sekundär: SAPS II, Liegedauer, TISS-10. Multivariable logistische Regression für prädiktive Faktoren.</w:t>
      </w:r>
    </w:p>
    <w:p>
      <w:r>
        <w:rPr>
          <w:b/>
        </w:rPr>
        <w:t xml:space="preserve">Ergebnis: </w:t>
      </w:r>
      <w:r>
        <w:t>E-Bike-Fahrer*innen: höherer BMI (26,1 vs. 24,6 kg/m²; p=0,029). Kein signifikanter Unterschied in ISS, SAPS II oder Ressourcennutzung. Konventionelle Fahrer häufiger AIS Pelvis/Extremitäten ≥3 (14,3% vs. 5,4%; p=0,045). Multivariat: ISS und BMI unabhängige Prädiktoren von Extremitätenfrakturen (BMI OR 0,901, p=0,004). BMI unabhängiger Prädiktor von E-Bike-Nutzung (OR 1,130, p=0,005).</w:t>
      </w:r>
    </w:p>
    <w:p>
      <w:r>
        <w:rPr>
          <w:b/>
          <w:sz w:val="19"/>
        </w:rPr>
        <w:t xml:space="preserve">Übertragbarkeit: </w:t>
      </w:r>
      <w:r>
        <w:rPr>
          <w:sz w:val="19"/>
        </w:rPr>
        <w:t>Deutsche Universitätsklinik, vergleichbare Unfallmuster und Dokumentation.</w:t>
      </w:r>
    </w:p>
    <w:p>
      <w:r>
        <w:rPr>
          <w:color w:val="5A7D3A"/>
          <w:sz w:val="18"/>
        </w:rPr>
        <w:t>https://pubmed.ncbi.nlm.nih.gov/42599451/</w:t>
      </w:r>
    </w:p>
    <w:p>
      <w:pPr>
        <w:pStyle w:val="Heading2"/>
      </w:pPr>
      <w:r>
        <w:t>Tirzepatid reduzierte kardiovaskuläre Ereignisse um ein Drittel in klinischer Praxis</w:t>
      </w:r>
    </w:p>
    <w:p>
      <w:r>
        <w:rPr>
          <w:i/>
          <w:color w:val="666666"/>
          <w:sz w:val="18"/>
        </w:rPr>
        <w:t>Krüger N et al.  ·  BMJ  ·  05.08.2026  ·  PMID 42556854</w:t>
      </w:r>
    </w:p>
    <w:p>
      <w:r>
        <w:t>Bevölkerungsbasierte Kohortenstudie mit 52.971 Personen mit Typ-2-Diabetes und etablierter kardiovaskulärer Erkrankung, die Tirzepatide (n=35.353) oder Sitagliptin als Plazebo-Vergleich (n=17.618) erhielten, um MACE (Myokardinfarkt, Schlaganfall, Allmortalität) zu untersuchen.</w:t>
      </w:r>
    </w:p>
    <w:p>
      <w:r>
        <w:rPr>
          <w:b/>
        </w:rPr>
        <w:t xml:space="preserve">Ergebnis: </w:t>
      </w:r>
      <w:r>
        <w:t>Ein-Jahres-MACE-Risiko: 2,9% (Tirzepatid) vs. 4,4% (Sitagliptin); Risikodifferenz −1,4% (95% CI −2,1 bis −0,7), NNT=70. Hazard Ratio 0,68 (95% CI 0,58–0,80). Myokardinfarkt HR 0,67 (0,52–0,87), Schlaganfall HR 0,91 (0,64–1,28). Infektionsereignisse sanken (HR 0,64), infektionsbedingte Mortalität HR 0,40 (0,26–0,61). Allmortalität HR 0,55 (0,42–0,72).</w:t>
      </w:r>
    </w:p>
    <w:p>
      <w:r>
        <w:rPr>
          <w:b/>
          <w:sz w:val="19"/>
        </w:rPr>
        <w:t xml:space="preserve">Übertragbarkeit: </w:t>
      </w:r>
      <w:r>
        <w:rPr>
          <w:sz w:val="19"/>
        </w:rPr>
        <w:t>USA, Daten mit Versicherungsansprüchen; kostenpflichtig vs. in Deutschland nicht erstattbar.</w:t>
      </w:r>
    </w:p>
    <w:p>
      <w:r>
        <w:rPr>
          <w:color w:val="5A7D3A"/>
          <w:sz w:val="18"/>
        </w:rPr>
        <w:t>https://pubmed.ncbi.nlm.nih.gov/42556854/</w:t>
      </w:r>
    </w:p>
    <w:p>
      <w:pPr>
        <w:pStyle w:val="Heading2"/>
      </w:pPr>
      <w:r>
        <w:t>Lifestyle änderungen bei kardio-metabolischem Syndrom senken Sterblichkeit um 15-19 %</w:t>
      </w:r>
    </w:p>
    <w:p>
      <w:r>
        <w:rPr>
          <w:i/>
          <w:color w:val="666666"/>
          <w:sz w:val="18"/>
        </w:rPr>
        <w:t>You Q et al.  ·  Clin Cardiol  ·  Aug. 2026  ·  PMID 42554187</w:t>
      </w:r>
    </w:p>
    <w:p>
      <w:r>
        <w:t>Zwei Kohortenstudien (UK Biobank: 306.831 Teilnehmer; NHANES: 9.823) untersuchten, wie ein gesundes Lebensstil-Score aus sieben Faktoren (Nichtrauchen, gemäßigtes Trinken, gesunde Ernährung, Bewegung, ausreichend Schlaf, niedriger Sitzaufwand, soziale Kontakte) die Sterblichkeit bei Personen mit kardio-vaskulär-metabolischem Syndrom beeinflusst.</w:t>
      </w:r>
    </w:p>
    <w:p>
      <w:r>
        <w:rPr>
          <w:b/>
        </w:rPr>
        <w:t xml:space="preserve">Ergebnis: </w:t>
      </w:r>
      <w:r>
        <w:t>Höhere Lebensstil-Scores waren mit reduzierten Risiken für Allmortalität (HR 0,81; 95% CI 0,80–0,82) und kardiovaskuläre Sterblichkeit (HR 0,82; 95% CI 0,80–0,84) in UK Biobank assoziiert. In NHANES zeigten sich 15% (95% CI 0,80–0,90) und 11% (95% CI 0,81–0,99) niedrigere Mortalitätsrisiken. Bewegung und niedriger Sitzaufwand waren besonders wirksam. Das Risiko war am niedrigsten bei Personen mit nicht fortgeschrittenem CKM-Syndrom und günstigem Lebensstil.</w:t>
      </w:r>
    </w:p>
    <w:p>
      <w:r>
        <w:rPr>
          <w:b/>
          <w:sz w:val="19"/>
        </w:rPr>
        <w:t xml:space="preserve">Übertragbarkeit: </w:t>
      </w:r>
      <w:r>
        <w:rPr>
          <w:sz w:val="19"/>
        </w:rPr>
        <w:t>UK Biobank und NHANES, breite US-Bevölkerung, aber Lebensstil-Mechanismen universal.</w:t>
      </w:r>
    </w:p>
    <w:p>
      <w:r>
        <w:rPr>
          <w:color w:val="5A7D3A"/>
          <w:sz w:val="18"/>
        </w:rPr>
        <w:t>https://pubmed.ncbi.nlm.nih.gov/42554187/</w:t>
      </w:r>
    </w:p>
    <w:p>
      <w:pPr>
        <w:pStyle w:val="Heading2"/>
      </w:pPr>
      <w:r>
        <w:t>Zenagamtide (einmal wöchentlich) senkte HbA1c um 0,9–1,7 % bei Typ-2-Diabetes</w:t>
      </w:r>
    </w:p>
    <w:p>
      <w:r>
        <w:rPr>
          <w:i/>
          <w:color w:val="666666"/>
          <w:sz w:val="18"/>
        </w:rPr>
        <w:t>Mora P et al.  ·  Lancet  ·  15.08.2026  ·  PMID 42532080</w:t>
      </w:r>
    </w:p>
    <w:p>
      <w:r>
        <w:t>36-wöchige Doppelblind-Dosisfindungs-Phase-2-Studie (n=262) mit subkutanem GLP-1/Amylin/Calcitonin-Rezeptor-Agonist Zenagamtide (0,4–40 mg) vs. Plazebo in 83 Zentren über 11 Länder bei Typ-2-Diabetes-Patient*innen auf stabiler Metformin-Therapie.</w:t>
      </w:r>
    </w:p>
    <w:p>
      <w:r>
        <w:rPr>
          <w:b/>
        </w:rPr>
        <w:t xml:space="preserve">Ergebnis: </w:t>
      </w:r>
      <w:r>
        <w:t>HbA1c-Änderung von Baseline (7,8%) zu Woche 36: −0,9% mit 0,4 mg (ETD −0,77%, p=0,0021) bis −1,7% mit 40 mg (ETD −1,56%, p&lt;0,0001). Behandlungsdifferenzen vs. Plazebo alle signifikant (p≤0,0001). Nebenwirkungen hauptsächlich gastrointestinal, mild bis moderat. 8% ernsthafte Nebenwirkungen über alle Dosen, 0% unter Plazebo. Keine Todesfälle.</w:t>
      </w:r>
    </w:p>
    <w:p>
      <w:r>
        <w:rPr>
          <w:b/>
          <w:sz w:val="19"/>
        </w:rPr>
        <w:t xml:space="preserve">Übertragbarkeit: </w:t>
      </w:r>
      <w:r>
        <w:rPr>
          <w:sz w:val="19"/>
        </w:rPr>
        <w:t>Globale Studie, aber in Deutschland nicht erstattungsfähig nach § 34 SGB V.</w:t>
      </w:r>
    </w:p>
    <w:p>
      <w:r>
        <w:rPr>
          <w:color w:val="5A7D3A"/>
          <w:sz w:val="18"/>
        </w:rPr>
        <w:t>https://pubmed.ncbi.nlm.nih.gov/42532080/</w:t>
      </w:r>
    </w:p>
    <w:p>
      <w:pPr>
        <w:pStyle w:val="Heading2"/>
      </w:pPr>
      <w:r>
        <w:t>Häufige Mahlzeiteneinsparung mit Desserts erhöhte Adipositasrisiko bei Studierenden um das 7-Fache</w:t>
      </w:r>
    </w:p>
    <w:p>
      <w:r>
        <w:rPr>
          <w:i/>
          <w:color w:val="666666"/>
          <w:sz w:val="18"/>
        </w:rPr>
        <w:t>Moleriu RD et al.  ·  Nutrients  ·  20.07.2026  ·  PMID 42514438</w:t>
      </w:r>
    </w:p>
    <w:p>
      <w:r>
        <w:t>Querschnittsstudie (n=921) rumänischer Universitätsstudierender (18–24 Jahre; 60,6% weiblich) via CAWI-Fragebogen zu Ernährungsverhalten, mit Assoziationen zu BMI-Kategorien (WHO) und Clustering diätetischer Phänotypen.</w:t>
      </w:r>
    </w:p>
    <w:p>
      <w:r>
        <w:rPr>
          <w:b/>
        </w:rPr>
        <w:t xml:space="preserve">Ergebnis: </w:t>
      </w:r>
      <w:r>
        <w:t>24,1% übergewichtig/adipös (19,4% übergewichtig, 4,7% adipös). Häufige Mahlzeiteneinsparung mit Desserts: aOR 7,20 (95% CI 4,26–12,17); Fast-Food ≥3×/Woche: aOR 1,98 (95% CI 1,26–3,10). Männliches Geschlecht, höheres Alter und urbaner Wohnort assoziiert mit Übergewicht. Dietary Risk Score (0–5) dose-abhängig mit Übergewicht: 19,8% (Score 0) bis 50,0% (Score 4); aOR 1,43 pro Punkt-Erhöhung (95% CI 1,23–1,66).</w:t>
      </w:r>
    </w:p>
    <w:p>
      <w:r>
        <w:rPr>
          <w:b/>
          <w:sz w:val="19"/>
        </w:rPr>
        <w:t xml:space="preserve">Übertragbarkeit: </w:t>
      </w:r>
      <w:r>
        <w:rPr>
          <w:sz w:val="19"/>
        </w:rPr>
        <w:t>Rumänien, vergleichbar mit deutschem Hochschulsystem, aber begrenzt auf junge Erwachsene.</w:t>
      </w:r>
    </w:p>
    <w:p>
      <w:r>
        <w:rPr>
          <w:color w:val="5A7D3A"/>
          <w:sz w:val="18"/>
        </w:rPr>
        <w:t>https://pubmed.ncbi.nlm.nih.gov/42514438/</w:t>
      </w:r>
    </w:p>
    <w:p>
      <w:pPr>
        <w:pStyle w:val="Heading2"/>
      </w:pPr>
      <w:r>
        <w:t>Verbesserte Fütterungspraktiken reduzierten Adipositas bei SGA-Kindern um 7 Prozentpunkte</w:t>
      </w:r>
    </w:p>
    <w:p>
      <w:r>
        <w:rPr>
          <w:i/>
          <w:color w:val="666666"/>
          <w:sz w:val="18"/>
        </w:rPr>
        <w:t>Bucur-Grosu ML et al.  ·  Nutrients  ·  13.07.2026  ·  PMID 42514365</w:t>
      </w:r>
    </w:p>
    <w:p>
      <w:r>
        <w:t>Retrospektive Vergleichskohorte (n=1108): 600 geburtsgewichtsdiskordante Neugeborene 2010–2011 vs. 508 aus 2020–2021 in Rumänien, mit Nachverfolgung der Ernährungspraktiken, Anthropometrie und Gesundheitsergebnisse bei 2–3 Jahren per Telefon-Interview.</w:t>
      </w:r>
    </w:p>
    <w:p>
      <w:r>
        <w:rPr>
          <w:b/>
        </w:rPr>
        <w:t xml:space="preserve">Ergebnis: </w:t>
      </w:r>
      <w:r>
        <w:t>Adipositasprävalenz: 29,5% → 22,4% bei 2 Jahren; 32,7% → 20,7% bei 3 Jahren (p&lt;0,001). Stillen stieg 35,5% → 59,1% (p&lt;0,001), adäquate Beikost 66,3% → 74,2% (p=0,005). In historischer Kohorte: Mischfütterung vs. Flaschennahrung aOR 2,55 (95% CI 1,52–4,43) für Übergewicht/Adipositas bei 2 Jahren; in zeitgenössischer Kohorte nicht signifikant. Stillen protektiv in beiden. Adäquate Beikost mit niedrigerer Allergieprävalenz verknüpft (14,8% vs. 24,8%).</w:t>
      </w:r>
    </w:p>
    <w:p>
      <w:r>
        <w:rPr>
          <w:b/>
          <w:sz w:val="19"/>
        </w:rPr>
        <w:t xml:space="preserve">Übertragbarkeit: </w:t>
      </w:r>
      <w:r>
        <w:rPr>
          <w:sz w:val="19"/>
        </w:rPr>
        <w:t>Rumänien, aber Fütterungstrends und Adipositasrisiken bei SGA-Kleinkindern universal relevant.</w:t>
      </w:r>
    </w:p>
    <w:p>
      <w:r>
        <w:rPr>
          <w:color w:val="5A7D3A"/>
          <w:sz w:val="18"/>
        </w:rPr>
        <w:t>https://pubmed.ncbi.nlm.nih.gov/42514365/</w:t>
      </w:r>
    </w:p>
    <w:p>
      <w:pPr>
        <w:pStyle w:val="Heading2"/>
      </w:pPr>
      <w:r>
        <w:t>Gruppenbasierte Verhaltensintervention für schwere Adipositas: Protokoll zu RCT mit UK-NHS-Implementierung</w:t>
      </w:r>
    </w:p>
    <w:p>
      <w:r>
        <w:rPr>
          <w:i/>
          <w:color w:val="666666"/>
          <w:sz w:val="18"/>
        </w:rPr>
        <w:t>Barnett A et al.  ·  BMJ Open  ·  24.07.2026  ·  PMID 42498478</w:t>
      </w:r>
    </w:p>
    <w:p>
      <w:r>
        <w:t>Studienprotokoll für randomisierte kontrollierte Studie (PROGROUP), die eine strukturierte gruppenbasierte Verhaltensintervention mit üblicher Versorgung in britischen Spezialist*innen-Gewichtsmanagementerrvices vergleicht; geplant sind auch Implementierungsstudien in der Primärversorgung.</w:t>
      </w:r>
    </w:p>
    <w:p>
      <w:r>
        <w:rPr>
          <w:b/>
        </w:rPr>
        <w:t xml:space="preserve">Ergebnis: </w:t>
      </w:r>
      <w:r>
        <w:t>Protokoll beschreibt Rekrutierungsziele von 30 Teilnehmer*innen pro Kohorte (1:1 randomisiert), Endpunkte bei 6 Monaten für Gewicht, klinische Maße und patientenberichtete Ergebnisse, Plus Prozess- und Wirtschaftsevaluierung. Begleitende Implementierungsstudie in Primärversorgung mit 15er-Kohorten geplant.</w:t>
      </w:r>
    </w:p>
    <w:p>
      <w:r>
        <w:rPr>
          <w:b/>
          <w:sz w:val="19"/>
        </w:rPr>
        <w:t xml:space="preserve">Übertragbarkeit: </w:t>
      </w:r>
      <w:r>
        <w:rPr>
          <w:sz w:val="19"/>
        </w:rPr>
        <w:t>UK-NHS-System, aber Gruppenformat und Wirtschaftsbewertung auf andere Systeme übertragbar.</w:t>
      </w:r>
    </w:p>
    <w:p>
      <w:r>
        <w:rPr>
          <w:color w:val="5A7D3A"/>
          <w:sz w:val="18"/>
        </w:rPr>
        <w:t>https://pubmed.ncbi.nlm.nih.gov/42498478/</w:t>
      </w:r>
    </w:p>
    <w:p>
      <w:pPr>
        <w:pStyle w:val="Heading1"/>
      </w:pPr>
      <w:r>
        <w:t>Aufgenommen am 28.08.2026</w:t>
      </w:r>
    </w:p>
    <w:p>
      <w:pPr>
        <w:pStyle w:val="Heading2"/>
      </w:pPr>
      <w:r>
        <w:t>GLP-1-Rezeptoragonisten in der Schlafmedizin: Europäische Praxis zeigt Koordinierungslücken</w:t>
      </w:r>
    </w:p>
    <w:p>
      <w:r>
        <w:rPr>
          <w:i/>
          <w:color w:val="666666"/>
          <w:sz w:val="18"/>
        </w:rPr>
        <w:t>Testelmans D et al.  ·  Pulmonology  ·  25.08.2026  ·  PMID 42639925</w:t>
      </w:r>
    </w:p>
    <w:p>
      <w:r>
        <w:t>Paneuropäische Umfrage unter Schlafmedizinern zu Nutzung und Koordination von GLP-1-Rezeptoragonisten bei Patienten mit Schlafapnoe und Adipositas.</w:t>
      </w:r>
    </w:p>
    <w:p>
      <w:r>
        <w:rPr>
          <w:b/>
        </w:rPr>
        <w:t xml:space="preserve">Ergebnis: </w:t>
      </w:r>
      <w:r>
        <w:t>42 % der europäischen Zentren können GLP-1RA in der Schlafklinik einleiten. Empfohlen werden diagnostische Schlafstudien bei 92 % der Symptomsenden, PAP-Retitrierung/Absetzen erfolgt aber nur bei 14 %. Strukturierte interdisziplinäre Pfade fehlen vielerorts.</w:t>
      </w:r>
    </w:p>
    <w:p>
      <w:r>
        <w:rPr>
          <w:b/>
          <w:sz w:val="19"/>
        </w:rPr>
        <w:t xml:space="preserve">Übertragbarkeit: </w:t>
      </w:r>
      <w:r>
        <w:rPr>
          <w:sz w:val="19"/>
        </w:rPr>
        <w:t>14 europäische Länder, ESADA-Netzwerk; zeigt Versorgungsvariabilität auf Systemebene</w:t>
      </w:r>
    </w:p>
    <w:p>
      <w:r>
        <w:rPr>
          <w:color w:val="5A7D3A"/>
          <w:sz w:val="18"/>
        </w:rPr>
        <w:t>https://pubmed.ncbi.nlm.nih.gov/42639925/</w:t>
      </w:r>
    </w:p>
    <w:p>
      <w:pPr>
        <w:pStyle w:val="Heading2"/>
      </w:pPr>
      <w:r>
        <w:t>Arbeitszeitverkürzung erhöhte Übergewicht bei Fabrikarbeitern um 6,7 Prozentpunkte</w:t>
      </w:r>
    </w:p>
    <w:p>
      <w:r>
        <w:rPr>
          <w:i/>
          <w:color w:val="666666"/>
          <w:sz w:val="18"/>
        </w:rPr>
        <w:t>Costa-Font J et al.  ·  Econ Hum Biol  ·  04.08.2026  ·  PMID 42636624</w:t>
      </w:r>
    </w:p>
    <w:p>
      <w:r>
        <w:t>Französische Betriebsstudie zur Auswirkung der 35-Stunden-Woche auf Übergewicht und Adipositas bei Industrie- und Verwaltungsangestellten.</w:t>
      </w:r>
    </w:p>
    <w:p>
      <w:r>
        <w:rPr>
          <w:b/>
        </w:rPr>
        <w:t xml:space="preserve">Ergebnis: </w:t>
      </w:r>
      <w:r>
        <w:t>Bei Fabrikarbeitern stieg das Übergewichtsrisiko um 6,7 pp und sank die Adipositasprävalenz um 2,6 pp; bei Büroarbeitern keine Gesamteffekte. Heterogene Effekte: Bei Fabrikarbeitern vor Normal- zu Übergewicht verschiebend, bei Büroarbeitern Abnahme nur unter Übergewichtigen.</w:t>
      </w:r>
    </w:p>
    <w:p>
      <w:r>
        <w:rPr>
          <w:b/>
          <w:sz w:val="19"/>
        </w:rPr>
        <w:t xml:space="preserve">Übertragbarkeit: </w:t>
      </w:r>
      <w:r>
        <w:rPr>
          <w:sz w:val="19"/>
        </w:rPr>
        <w:t>Frankreich, Einzelbetriebsdaten; Struktur des Arbeitslebens bestimmt Adipositasrisiko</w:t>
      </w:r>
    </w:p>
    <w:p>
      <w:r>
        <w:rPr>
          <w:color w:val="5A7D3A"/>
          <w:sz w:val="18"/>
        </w:rPr>
        <w:t>https://pubmed.ncbi.nlm.nih.gov/42636624/</w:t>
      </w:r>
    </w:p>
    <w:p>
      <w:pPr>
        <w:pStyle w:val="Heading2"/>
      </w:pPr>
      <w:r>
        <w:t>GLP-1-Rezeptoragonisten in Kroatien: 42,7 % der Antidiabetika-Ausgaben, kaum für Adipositas</w:t>
      </w:r>
    </w:p>
    <w:p>
      <w:r>
        <w:rPr>
          <w:i/>
          <w:color w:val="666666"/>
          <w:sz w:val="18"/>
        </w:rPr>
        <w:t>Belančić A et al.  ·  J Int Med Res  ·  08.08.2026  ·  PMID 42570295</w:t>
      </w:r>
    </w:p>
    <w:p>
      <w:r>
        <w:t>Nationale Auswertung der GLP-1RA-Nutzung und -Kosten in Kroatien 2010–2024 vor Hintergrund sich ändernder klinischer Evidenz und Erstattungspolitik.</w:t>
      </w:r>
    </w:p>
    <w:p>
      <w:r>
        <w:rPr>
          <w:b/>
        </w:rPr>
        <w:t xml:space="preserve">Ergebnis: </w:t>
      </w:r>
      <w:r>
        <w:t>GLP-1RA-Konsum stieg von marginal auf 15,99 DDD/1000 Einwohner/Tag (2024); Ausgaben 42,07 Mio. Euro, 42,7 % der antidiabetischen Ausgaben. Adipositas-Indikationen stark untergenutzt wegen fehlender Erstattung.</w:t>
      </w:r>
    </w:p>
    <w:p>
      <w:r>
        <w:rPr>
          <w:b/>
          <w:sz w:val="19"/>
        </w:rPr>
        <w:t xml:space="preserve">Übertragbarkeit: </w:t>
      </w:r>
      <w:r>
        <w:rPr>
          <w:sz w:val="19"/>
        </w:rPr>
        <w:t>Kroatien, Versicherungsdaten (IQVIA); zeigt Erstattungsbarrieren auch in EU-Systemen</w:t>
      </w:r>
    </w:p>
    <w:p>
      <w:r>
        <w:rPr>
          <w:color w:val="5A7D3A"/>
          <w:sz w:val="18"/>
        </w:rPr>
        <w:t>https://pubmed.ncbi.nlm.nih.gov/42570295/</w:t>
      </w:r>
    </w:p>
    <w:p>
      <w:pPr>
        <w:pStyle w:val="Heading2"/>
      </w:pPr>
      <w:r>
        <w:t>Semaglutid-Behandlung reduzierte Triptan-Verbrauch um 7 % bei Gewichtsverlust-Nutzern</w:t>
      </w:r>
    </w:p>
    <w:p>
      <w:r>
        <w:rPr>
          <w:i/>
          <w:color w:val="666666"/>
          <w:sz w:val="18"/>
        </w:rPr>
        <w:t>Roland N et al.  ·  J Headache Pain  ·  05.08.2026  ·  PMID 42557547</w:t>
      </w:r>
    </w:p>
    <w:p>
      <w:r>
        <w:t>Dänische Registeranalyse zu Veränderungen im Triptan-Verbrauch nach Semaglutid-Initiierung zur Gewichtsreduktion in 189.392 Patienten.</w:t>
      </w:r>
    </w:p>
    <w:p>
      <w:r>
        <w:rPr>
          <w:b/>
        </w:rPr>
        <w:t xml:space="preserve">Ergebnis: </w:t>
      </w:r>
      <w:r>
        <w:t>Triptan-Verbrauch sank um 13 DDD/Monat/10.000 Einwohner (RR 0,93; 95%-KI 0,88–0,97) oder 7 % relativ. Stärkere Reduktion bei Frauen (8 %) und Altersgruppe 18–35 Jahre (14 %). Effekt primär bei Dauernutzern, nicht neuen Nutzern.</w:t>
      </w:r>
    </w:p>
    <w:p>
      <w:r>
        <w:rPr>
          <w:b/>
          <w:sz w:val="19"/>
        </w:rPr>
        <w:t xml:space="preserve">Übertragbarkeit: </w:t>
      </w:r>
      <w:r>
        <w:rPr>
          <w:sz w:val="19"/>
        </w:rPr>
        <w:t>Dänemark, nationale Register; Adipositas-Therapie verringert Migränemedikamentenbedarf</w:t>
      </w:r>
    </w:p>
    <w:p>
      <w:r>
        <w:rPr>
          <w:color w:val="5A7D3A"/>
          <w:sz w:val="18"/>
        </w:rPr>
        <w:t>https://pubmed.ncbi.nlm.nih.gov/42557547/</w:t>
      </w:r>
    </w:p>
    <w:p>
      <w:pPr>
        <w:pStyle w:val="Heading2"/>
      </w:pPr>
      <w:r>
        <w:t>Schwedische Hausärzte sehen GLP-1RA als wirksam, nennen Zuzahlungen und Engpässe als Barrieren</w:t>
      </w:r>
    </w:p>
    <w:p>
      <w:r>
        <w:rPr>
          <w:i/>
          <w:color w:val="666666"/>
          <w:sz w:val="18"/>
        </w:rPr>
        <w:t>Sundell I et al.  ·  BMC Prim Care  ·  05.08.2026  ·  PMID 42557543</w:t>
      </w:r>
    </w:p>
    <w:p>
      <w:r>
        <w:t>Querschnittserhebung bei schwedischen Hausärzten (28 % Rücklaufquote) zu Einstellungen zu GLP-1RA bei Übergewicht und Adipositas.</w:t>
      </w:r>
    </w:p>
    <w:p>
      <w:r>
        <w:rPr>
          <w:b/>
        </w:rPr>
        <w:t xml:space="preserve">Ergebnis: </w:t>
      </w:r>
      <w:r>
        <w:t>98 % hielten GLP-1RA für wirksam, 91 % prognostizieren Bedeutung in der Zukunft. Hauptbarrieren: hohe Patienten-Zuzahlungen (69 %), Lieferengpässe (86 %). Limitiert durch niedrige Rücklaufquote und Selbstselektionsbias.</w:t>
      </w:r>
    </w:p>
    <w:p>
      <w:r>
        <w:rPr>
          <w:b/>
          <w:sz w:val="19"/>
        </w:rPr>
        <w:t xml:space="preserve">Übertragbarkeit: </w:t>
      </w:r>
      <w:r>
        <w:rPr>
          <w:sz w:val="19"/>
        </w:rPr>
        <w:t>Schweden, Primärversorgung; Erstattungs- und Verfügbarkeitsfragen zentral für Verbreitung</w:t>
      </w:r>
    </w:p>
    <w:p>
      <w:r>
        <w:rPr>
          <w:color w:val="5A7D3A"/>
          <w:sz w:val="18"/>
        </w:rPr>
        <w:t>https://pubmed.ncbi.nlm.nih.gov/42557543/</w:t>
      </w:r>
    </w:p>
    <w:p>
      <w:pPr>
        <w:pStyle w:val="Heading2"/>
      </w:pPr>
      <w:r>
        <w:t>Belgische Diätisten berichten begrenzte GP-Überweisungen und fehlende Koordinationsrichtlinien</w:t>
      </w:r>
    </w:p>
    <w:p>
      <w:r>
        <w:rPr>
          <w:i/>
          <w:color w:val="666666"/>
          <w:sz w:val="18"/>
        </w:rPr>
        <w:t>Schreurs L et al.  ·  J Hum Nutr Diet  ·  Aug. 2026  ·  PMID 42501376</w:t>
      </w:r>
    </w:p>
    <w:p>
      <w:r>
        <w:t>Qualitative Studie mit 12 flämischen Diätisten zu Zugang, Überwachung und Weiterverweisung in der Adipositasversorgung.</w:t>
      </w:r>
    </w:p>
    <w:p>
      <w:r>
        <w:rPr>
          <w:b/>
        </w:rPr>
        <w:t xml:space="preserve">Ergebnis: </w:t>
      </w:r>
      <w:r>
        <w:t>Patienten nutzen Diätistik vor allem durch Eigeninitiative oder medizinische Überweisungen; GP-Überweisungen begrenzt. Überwachung und Dauer stark variabel. Barrieren: begrenzte Patientenmotivation, Zeitdruck, mangelhafte Finanzierung. Diätisten fordern Leitlinien und zentrale Koordination.</w:t>
      </w:r>
    </w:p>
    <w:p>
      <w:r>
        <w:rPr>
          <w:b/>
          <w:sz w:val="19"/>
        </w:rPr>
        <w:t xml:space="preserve">Übertragbarkeit: </w:t>
      </w:r>
      <w:r>
        <w:rPr>
          <w:sz w:val="19"/>
        </w:rPr>
        <w:t>Belgien (Flandern), Primärversorgung; typisch für europäische Fragmentierung</w:t>
      </w:r>
    </w:p>
    <w:p>
      <w:r>
        <w:rPr>
          <w:color w:val="5A7D3A"/>
          <w:sz w:val="18"/>
        </w:rPr>
        <w:t>https://pubmed.ncbi.nlm.nih.gov/42501376/</w:t>
      </w:r>
    </w:p>
    <w:p>
      <w:pPr>
        <w:pStyle w:val="Heading1"/>
      </w:pPr>
      <w:r>
        <w:t>Aufgenommen am 27.08.2026</w:t>
      </w:r>
    </w:p>
    <w:p>
      <w:pPr>
        <w:pStyle w:val="Heading2"/>
      </w:pPr>
      <w:r>
        <w:t>Portable Diagnostik metabolisches Syndrom: validierte Point-of-Care-Analysegeräte in mobiler Einheit</w:t>
      </w:r>
    </w:p>
    <w:p>
      <w:r>
        <w:rPr>
          <w:i/>
          <w:color w:val="666666"/>
          <w:sz w:val="18"/>
        </w:rPr>
        <w:t>Houtenbos S et al.  ·  BMC Prim Care  ·  19.08.2026  ·  PMID 42632889</w:t>
      </w:r>
    </w:p>
    <w:p>
      <w:r>
        <w:t>Pilot-Validierungsstudie an 50 Personen, die Zuverlässigkeit und Gültigkeit von tragbaren Point-of-Care-Analysegeräten zur Früherkennung des metabolischen Syndroms testete.</w:t>
      </w:r>
    </w:p>
    <w:p>
      <w:r>
        <w:rPr>
          <w:b/>
        </w:rPr>
        <w:t xml:space="preserve">Ergebnis: </w:t>
      </w:r>
      <w:r>
        <w:t>Alere-Gerät zeigte geringste Abweichung vs. Referenzlabor (Glukose: Bias −5 mg/dl [LoA −25 bis 6]; Triglyceride: Bias 8 [LoA −58 bis 30]; HDL: Bias −2 [LoA −14 bis 9]). Test-Retest-Zuverlässigkeit schlecht bis exzellent mit niedriger Variabilität (0,9–5,8 %). Metabolisches-Syndrom-Diagnose unterschied sich zwischen Messtagen nicht.</w:t>
      </w:r>
    </w:p>
    <w:p>
      <w:r>
        <w:rPr>
          <w:b/>
          <w:sz w:val="19"/>
        </w:rPr>
        <w:t xml:space="preserve">Übertragbarkeit: </w:t>
      </w:r>
      <w:r>
        <w:rPr>
          <w:sz w:val="19"/>
        </w:rPr>
        <w:t>Deutsche Kliniken, vergleichbare mobil-präventive Ansätze in der Primärversorgung</w:t>
      </w:r>
    </w:p>
    <w:p>
      <w:r>
        <w:rPr>
          <w:color w:val="5A7D3A"/>
          <w:sz w:val="18"/>
        </w:rPr>
        <w:t>https://pubmed.ncbi.nlm.nih.gov/42632889/</w:t>
      </w:r>
    </w:p>
    <w:p>
      <w:pPr>
        <w:pStyle w:val="Heading2"/>
      </w:pPr>
      <w:r>
        <w:t>Polnische Ärzte sehen GLP-1 als wirksam und sicher: 87–97 % Zustimmung für Erstattung, aber Verfügbarkeitsmangel</w:t>
      </w:r>
    </w:p>
    <w:p>
      <w:r>
        <w:rPr>
          <w:i/>
          <w:color w:val="666666"/>
          <w:sz w:val="18"/>
        </w:rPr>
        <w:t>Pucek WF et al.  ·  Front Endocrinol (Lausanne)  ·  04.08.2026  ·  PMID 42614226</w:t>
      </w:r>
    </w:p>
    <w:p>
      <w:r>
        <w:t>Querschnitts-Online-Befragung von 1.100 polnischen Gesundheitsfachkräften (Ärzte, Apotheker, Krankenpfleger, Diätassistenten, Physiotherapeuten; Mai–August 2025) zu Wahrnehmungen von GLP-1-Rezeptoragonisten.</w:t>
      </w:r>
    </w:p>
    <w:p>
      <w:r>
        <w:rPr>
          <w:b/>
        </w:rPr>
        <w:t xml:space="preserve">Ergebnis: </w:t>
      </w:r>
      <w:r>
        <w:t>GLP-1 als ‚sehr wirksam' für Gewichtsreduktion: Physiotherapeuten 87,3 %, Diätassistenten 84,8 %, Krankenpfleger 59,4 %, Ärzte 52,4 %. Sicherheit: 87–97 % aller Gruppen. Erstattungsunterstützung: 75–97 %. Ärzte in Diabetologie/Endokrinologie: adjustiertes OR 11,80 (95%-KI 3,88–35,84) für ‚sehr wirksam'; OR 2,71–7,00 für psychische Effekte.</w:t>
      </w:r>
    </w:p>
    <w:p>
      <w:r>
        <w:rPr>
          <w:b/>
          <w:sz w:val="19"/>
        </w:rPr>
        <w:t xml:space="preserve">Übertragbarkeit: </w:t>
      </w:r>
      <w:r>
        <w:rPr>
          <w:sz w:val="19"/>
        </w:rPr>
        <w:t>Polen, EU-Gesundheitssystem, Kostenerstattung und Implementierungsbarrieren ähnlich zu Deutschland</w:t>
      </w:r>
    </w:p>
    <w:p>
      <w:r>
        <w:rPr>
          <w:color w:val="5A7D3A"/>
          <w:sz w:val="18"/>
        </w:rPr>
        <w:t>https://pubmed.ncbi.nlm.nih.gov/42614226/</w:t>
      </w:r>
    </w:p>
    <w:p>
      <w:pPr>
        <w:pStyle w:val="Heading2"/>
      </w:pPr>
      <w:r>
        <w:t>Diagnostische Lücke: nur 10 % neuer Diabetiker mit Gewichtsverlust zu Bauchbildgebung überwiesen</w:t>
      </w:r>
    </w:p>
    <w:p>
      <w:r>
        <w:rPr>
          <w:i/>
          <w:color w:val="666666"/>
          <w:sz w:val="18"/>
        </w:rPr>
        <w:t>Lemanska A et al.  ·  BMJ Open  ·  18.08.2026  ·  PMID 42613106</w:t>
      </w:r>
    </w:p>
    <w:p>
      <w:r>
        <w:t>Retrospektive Kohorte aus englischen Hausarztpraxen (8 Mio. Patienten, 781 Praxen) von 180.815 Patienten mit neu diagnostiziertem Diabetes; Fokus auf Überweisungen zur Bauchbildgebung bei Verdacht auf Pankreaskrebs.</w:t>
      </w:r>
    </w:p>
    <w:p>
      <w:r>
        <w:rPr>
          <w:b/>
        </w:rPr>
        <w:t xml:space="preserve">Ergebnis: </w:t>
      </w:r>
      <w:r>
        <w:t>Bei 1.411 Patienten mit neu-onsettem Diabetes und Gewichtsverlust: 372 (26,4 %) überwiesen, 141 (10,0 %) erhielten Bildgebung, 40 (2,8 %) Pankreaskrebs dokumentiert. 84,2 % hatten ≥1 Körpergewichtsmessung, 89,4 % ≥1 HbA1c-Messung; aber große Untererfassung von Gewichtsverlauf und Überweisungspraxis.</w:t>
      </w:r>
    </w:p>
    <w:p>
      <w:r>
        <w:rPr>
          <w:b/>
          <w:sz w:val="19"/>
        </w:rPr>
        <w:t xml:space="preserve">Übertragbarkeit: </w:t>
      </w:r>
      <w:r>
        <w:rPr>
          <w:sz w:val="19"/>
        </w:rPr>
        <w:t>England, NHS-Primärversorgung, Erstattungsdatenquellen und Überweisungspfade</w:t>
      </w:r>
    </w:p>
    <w:p>
      <w:r>
        <w:rPr>
          <w:color w:val="5A7D3A"/>
          <w:sz w:val="18"/>
        </w:rPr>
        <w:t>https://pubmed.ncbi.nlm.nih.gov/42613106/</w:t>
      </w:r>
    </w:p>
    <w:p>
      <w:pPr>
        <w:pStyle w:val="Heading2"/>
      </w:pPr>
      <w:r>
        <w:t>Adipositaschirurgie vs. Lebensstiländerung: Gewichtverlust, aber Evidenzqualität gering bei Folgeerkrankungen</w:t>
      </w:r>
    </w:p>
    <w:p>
      <w:r>
        <w:rPr>
          <w:i/>
          <w:color w:val="666666"/>
          <w:sz w:val="18"/>
        </w:rPr>
        <w:t>Kiesswetter E et al.  ·  Cochrane Database Syst Rev  ·  18.08.2026  ·  PMID 42610488</w:t>
      </w:r>
    </w:p>
    <w:p>
      <w:r>
        <w:t>Netzwerk-Metaanalyse von 18 Studien (13 RCTs, 5 Kohortenanalysen; n=15.282) zu Langzeiteffekten (≥3 Jahre) verschiedener bariatrischer Verfahren vs. nichtchirurgischer Behandlung bei Adipositas + Typ-2-Diabetes.</w:t>
      </w:r>
    </w:p>
    <w:p>
      <w:r>
        <w:rPr>
          <w:b/>
        </w:rPr>
        <w:t xml:space="preserve">Ergebnis: </w:t>
      </w:r>
      <w:r>
        <w:t>RYGB zeigte vs. Lebensstiländerung: −16,95 % Gewichtsverlust (95%-KI −24,19 bis −9,71), −12,34 cm Taillenumfang (−17,88 bis −6,81), HbA1c −1,44 % (−2,26 bis −0,63). Partiell Typ-2-Diabetes-Remission wahrscheinlich, komplette Remission unsicher. Evidenzqualität für schwere adverse events, Mortalität, komplette Remission sehr niedrig.</w:t>
      </w:r>
    </w:p>
    <w:p>
      <w:r>
        <w:rPr>
          <w:b/>
          <w:sz w:val="19"/>
        </w:rPr>
        <w:t xml:space="preserve">Übertragbarkeit: </w:t>
      </w:r>
      <w:r>
        <w:rPr>
          <w:sz w:val="19"/>
        </w:rPr>
        <w:t>Internationale Cochrane-Übersicht einschließlich deutscher Daten; Adipositaschirurgie nicht Hauptfokus deutscher Versorgung</w:t>
      </w:r>
    </w:p>
    <w:p>
      <w:r>
        <w:rPr>
          <w:color w:val="5A7D3A"/>
          <w:sz w:val="18"/>
        </w:rPr>
        <w:t>https://pubmed.ncbi.nlm.nih.gov/42610488/</w:t>
      </w:r>
    </w:p>
    <w:p>
      <w:pPr>
        <w:pStyle w:val="Heading2"/>
      </w:pPr>
      <w:r>
        <w:t>Orale Semaglutid im Hausarzt: Gewichtsreduktion und Therapiezufriedenheit erzielt</w:t>
      </w:r>
    </w:p>
    <w:p>
      <w:r>
        <w:rPr>
          <w:i/>
          <w:color w:val="666666"/>
          <w:sz w:val="18"/>
        </w:rPr>
        <w:t>Roslind K et al.  ·  Dan Med J  ·  16.06.2026  ·  PMID 42592768</w:t>
      </w:r>
    </w:p>
    <w:p>
      <w:r>
        <w:t>Prospektive Kohortenstudie mit 96 Patienten in Hausarztpraxen, die mit oraler Semaglutid unter Routinebedingungen über 34–44 Wochen behandelt wurden.</w:t>
      </w:r>
    </w:p>
    <w:p>
      <w:r>
        <w:rPr>
          <w:b/>
        </w:rPr>
        <w:t xml:space="preserve">Ergebnis: </w:t>
      </w:r>
      <w:r>
        <w:t>HbA1c-Reduktion um 0,9 Prozentpunkte (95%-KI −1,20 bis −0,61), Körpergewicht um −4,4 kg (95%-KI −5,44 bis −3,41), 66,7 % erreichten HbA1c &lt;7,0 % (vs. 28,1 % zu Baseline). Therapiezufriedenheit stieg (DTSQs +1,9, DTSQc +10,5 Punkte). Keine neuen Sicherheitssignale.</w:t>
      </w:r>
    </w:p>
    <w:p>
      <w:r>
        <w:rPr>
          <w:b/>
          <w:sz w:val="19"/>
        </w:rPr>
        <w:t xml:space="preserve">Übertragbarkeit: </w:t>
      </w:r>
      <w:r>
        <w:rPr>
          <w:sz w:val="19"/>
        </w:rPr>
        <w:t>Dänische Primärversorgung, Routinepraxis, vergleichbares europäisches System</w:t>
      </w:r>
    </w:p>
    <w:p>
      <w:r>
        <w:rPr>
          <w:color w:val="5A7D3A"/>
          <w:sz w:val="18"/>
        </w:rPr>
        <w:t>https://pubmed.ncbi.nlm.nih.gov/42592768/</w:t>
      </w:r>
    </w:p>
    <w:p>
      <w:pPr>
        <w:pStyle w:val="Heading2"/>
      </w:pPr>
      <w:r>
        <w:t>Kritisches Fenster für Adipositas-Reversal: spanische Kinder zeigen 75 % Normalisierungsrate im Alter 2–5 Jahren</w:t>
      </w:r>
    </w:p>
    <w:p>
      <w:r>
        <w:rPr>
          <w:i/>
          <w:color w:val="666666"/>
          <w:sz w:val="18"/>
        </w:rPr>
        <w:t>González-Rivas JP et al.  ·  Nutrients  ·  27.07.2026  ·  PMID 42588077</w:t>
      </w:r>
    </w:p>
    <w:p>
      <w:r>
        <w:t>Real-World-Kohortenstudie von 37.465 spanischen Kindern und Jugendlichen (0–18 Jahre) mit Markov-Kettenanalyse zur Identifikation von BMI-Übergängen und kritischen Plastizitätsfenstern.</w:t>
      </w:r>
    </w:p>
    <w:p>
      <w:r>
        <w:rPr>
          <w:b/>
        </w:rPr>
        <w:t xml:space="preserve">Ergebnis: </w:t>
      </w:r>
      <w:r>
        <w:t>Zu Baseline 21,6 % Übergewicht/Adipositas. Markov-Analyse zeigte kritisches Fenster (2–5 Jahre): 75 % Wahrscheinlichkeit Rückkehr zu Normalgewicht. Im Alter 6–11 Jahre: 60 % Adipositas-Persistenz und 23,2 % Progression von Übergewicht zu Adipositas. Nach Baseline-Assessment scharfer initialer Abfall der z-Scores über alle Gruppen.</w:t>
      </w:r>
    </w:p>
    <w:p>
      <w:r>
        <w:rPr>
          <w:b/>
          <w:sz w:val="19"/>
        </w:rPr>
        <w:t xml:space="preserve">Übertragbarkeit: </w:t>
      </w:r>
      <w:r>
        <w:rPr>
          <w:sz w:val="19"/>
        </w:rPr>
        <w:t>Spanische Klinikkohorten, kindliche Adipositas, europäisches Versorgungsmuster</w:t>
      </w:r>
    </w:p>
    <w:p>
      <w:r>
        <w:rPr>
          <w:color w:val="5A7D3A"/>
          <w:sz w:val="18"/>
        </w:rPr>
        <w:t>https://pubmed.ncbi.nlm.nih.gov/42588077/</w:t>
      </w:r>
    </w:p>
    <w:p>
      <w:pPr>
        <w:pStyle w:val="Heading2"/>
      </w:pPr>
      <w:r>
        <w:t>Fachwissen und Barrieren bei Adipositasversorgung: irische Hausarztassistentinnen</w:t>
      </w:r>
    </w:p>
    <w:p>
      <w:r>
        <w:rPr>
          <w:i/>
          <w:color w:val="666666"/>
          <w:sz w:val="18"/>
        </w:rPr>
        <w:t>Donaghue C et al.  ·  Prim Health Care Res Dev  ·  28.07.2026  ·  PMID 42516091</w:t>
      </w:r>
    </w:p>
    <w:p>
      <w:r>
        <w:t>Querschnittserhebung von 240 Hausarztassistentinnen in Irland zu Kenntnissen, Wahrnehmungen und Hürden bei der Adipositasversorgung.</w:t>
      </w:r>
    </w:p>
    <w:p>
      <w:r>
        <w:rPr>
          <w:b/>
        </w:rPr>
        <w:t xml:space="preserve">Ergebnis: </w:t>
      </w:r>
      <w:r>
        <w:t>93 % erkennen multifaktoriale Ätiologie an; 74 % führen gern Gewichtsgespräche. Hauptbarrieren: fehlende Zeit (83 %), mangelnde Schulung (71 %), Fachkräftemangel (72 %), Kosten (67 %). 40 % berichten keine Adipositasschulung; 54 % besuchten mind. ein Webinar/Konferenz. Empfehlung: dedizierte Konsultationszeit und Fortbildung nötig.</w:t>
      </w:r>
    </w:p>
    <w:p>
      <w:r>
        <w:rPr>
          <w:b/>
          <w:sz w:val="19"/>
        </w:rPr>
        <w:t xml:space="preserve">Übertragbarkeit: </w:t>
      </w:r>
      <w:r>
        <w:rPr>
          <w:sz w:val="19"/>
        </w:rPr>
        <w:t>Irisches Primärversorgungssystem, ähnliche Herausforderungen wie deutschsprachiger Raum</w:t>
      </w:r>
    </w:p>
    <w:p>
      <w:r>
        <w:rPr>
          <w:color w:val="5A7D3A"/>
          <w:sz w:val="18"/>
        </w:rPr>
        <w:t>https://pubmed.ncbi.nlm.nih.gov/42516091/</w:t>
      </w:r>
    </w:p>
    <w:p>
      <w:pPr>
        <w:pStyle w:val="Heading1"/>
      </w:pPr>
      <w:r>
        <w:t>Aufgenommen am 26.08.2026</w:t>
      </w:r>
    </w:p>
    <w:p>
      <w:pPr>
        <w:pStyle w:val="Heading2"/>
      </w:pPr>
      <w:r>
        <w:t>Ecosyndemic Cluster in Niederlanden: Adipositas clustert räumlich mit Armut, schlechtem Umfeld und psychischer Belastung</w:t>
      </w:r>
    </w:p>
    <w:p>
      <w:r>
        <w:rPr>
          <w:i/>
          <w:color w:val="666666"/>
          <w:sz w:val="18"/>
        </w:rPr>
        <w:t>Muilwijk M et al.  ·  PLoS One  ·  14.08.2026  ·  PMID 42599915</w:t>
      </w:r>
    </w:p>
    <w:p>
      <w:r>
        <w:t>Niederländische Nachbarschafts-Clusteranalyse von 12.420 bewohnten administrativen Bezirken mit Daten zu Gesundheit, obesogener Umwelt und sozioökonomischem Status (2016).</w:t>
      </w:r>
    </w:p>
    <w:p>
      <w:r>
        <w:rPr>
          <w:b/>
        </w:rPr>
        <w:t xml:space="preserve">Ergebnis: </w:t>
      </w:r>
      <w:r>
        <w:t>Fünf Nachbarschaftscluster identifiziert. Der ‚Ecosyndemic Cluster' (n=1.070) zeigte höchste Adipositaslast (17 %), chronische Erkrankungen (36 %) und Angst/Depression (55 %), kombiniert mit ungünstiger Lebensmittelumgebung und niedriger sozioökonomischer Position. Der ‚Privilegierte Cluster' (n=6.425) hatte niedrigere Adipositasprävalenz (12 %). Räumliche Clusterung stark (Morans I=0,58).</w:t>
      </w:r>
    </w:p>
    <w:p>
      <w:r>
        <w:rPr>
          <w:b/>
          <w:sz w:val="19"/>
        </w:rPr>
        <w:t xml:space="preserve">Übertragbarkeit: </w:t>
      </w:r>
      <w:r>
        <w:rPr>
          <w:sz w:val="19"/>
        </w:rPr>
        <w:t>Niederlande, vergleichbares System; dokumentiert räumliche Ungleichheit, relevant für Verhältnisprävention.</w:t>
      </w:r>
    </w:p>
    <w:p>
      <w:r>
        <w:rPr>
          <w:color w:val="5A7D3A"/>
          <w:sz w:val="18"/>
        </w:rPr>
        <w:t>https://pubmed.ncbi.nlm.nih.gov/42599915/</w:t>
      </w:r>
    </w:p>
    <w:p>
      <w:pPr>
        <w:pStyle w:val="Heading2"/>
      </w:pPr>
      <w:r>
        <w:t>Strukturelle Determinanten der Adipositas in England: Essensumgebung und Inaktivität, nicht städtisch-ländlich</w:t>
      </w:r>
    </w:p>
    <w:p>
      <w:r>
        <w:rPr>
          <w:i/>
          <w:color w:val="666666"/>
          <w:sz w:val="18"/>
        </w:rPr>
        <w:t>Hu Y  ·  PLoS One  ·  05.08.2026  ·  PMID 42555576</w:t>
      </w:r>
    </w:p>
    <w:p>
      <w:r>
        <w:t>Räumlich-ökonomische Analyse mit 151 englischen Upper-Tier-Local-Authorities (2023/24) mittels Spatial Error Model zur Identifikation von Adipositas-Determinanten und räumlicher Variabilität.</w:t>
      </w:r>
    </w:p>
    <w:p>
      <w:r>
        <w:rPr>
          <w:b/>
        </w:rPr>
        <w:t xml:space="preserve">Ergebnis: </w:t>
      </w:r>
      <w:r>
        <w:t>Adipositasprävalenz zeigte starkes räumliches Clustering (Morans I=0,58). Spatial Error Model (AICc 806,4) übertraf OLS und Geographically Weighted Regression; eliminierte Residualautokorrelation (Morans I=−0,03). Schnellimbiss-Dichte zeigte robuste negative Assoziation (Urban Paradox); physische Inaktivität und niedriger Obst-/Gemüsekonsum waren signifikante positive Treiber. Koeffizienten waren räumlich stationär, nicht heterogen.</w:t>
      </w:r>
    </w:p>
    <w:p>
      <w:r>
        <w:rPr>
          <w:b/>
          <w:sz w:val="19"/>
        </w:rPr>
        <w:t xml:space="preserve">Übertragbarkeit: </w:t>
      </w:r>
      <w:r>
        <w:rPr>
          <w:sz w:val="19"/>
        </w:rPr>
        <w:t>England, comparable Sozialversicherungssystem; zeigt, dass nationale Strukturinterventionen (nicht ort-spezifische) erforderlich sind.</w:t>
      </w:r>
    </w:p>
    <w:p>
      <w:r>
        <w:rPr>
          <w:color w:val="5A7D3A"/>
          <w:sz w:val="18"/>
        </w:rPr>
        <w:t>https://pubmed.ncbi.nlm.nih.gov/42555576/</w:t>
      </w:r>
    </w:p>
    <w:p>
      <w:pPr>
        <w:pStyle w:val="Heading2"/>
      </w:pPr>
      <w:r>
        <w:t>Adipositas in der Kindheit verzögert Geburtsalter im Erwachsenenalter, besonders ab Alter 35</w:t>
      </w:r>
    </w:p>
    <w:p>
      <w:r>
        <w:rPr>
          <w:i/>
          <w:color w:val="666666"/>
          <w:sz w:val="18"/>
        </w:rPr>
        <w:t>Pedersen DC et al.  ·  JAMA Netw Open  ·  03.08.2026  ·  PMID 42550510</w:t>
      </w:r>
    </w:p>
    <w:p>
      <w:r>
        <w:t>Dänische bevölkerungsbasierte Längsschnittstudie von 60.864 Frauen mit Schulgesundheitsdaten (Alter 6–15 Jahre) und Reproduktionsoutcomes bis 2022; BMI-Trajektorienanalyse mit Cox-Regression.</w:t>
      </w:r>
    </w:p>
    <w:p>
      <w:r>
        <w:rPr>
          <w:b/>
        </w:rPr>
        <w:t xml:space="preserve">Ergebnis: </w:t>
      </w:r>
      <w:r>
        <w:t>Frauen mit Adipositas-Trajektorie in der Kindheit hatten niedrigere Hazard-Ratios für Geburten als Frauen mit Normalgew icht, abnehmend mit steigendem Alter (Alter 25–29 Jahre: HR 0,78; Alter 35–45 Jahre: HR 0,56). Keine Assoziation mit primärer oder jeglicher Infertilität. Verzögerung der Erstgeburt nahm mit Alter zu, besonders im späteren reproduktiven Fenster.</w:t>
      </w:r>
    </w:p>
    <w:p>
      <w:r>
        <w:rPr>
          <w:b/>
          <w:sz w:val="19"/>
        </w:rPr>
        <w:t xml:space="preserve">Übertragbarkeit: </w:t>
      </w:r>
      <w:r>
        <w:rPr>
          <w:sz w:val="19"/>
        </w:rPr>
        <w:t>Dänemark, vergleichbares Sozialversicherungssystem; dokumentiert langfristige Reproduktionsfolgen von Kindheitsobesitas.</w:t>
      </w:r>
    </w:p>
    <w:p>
      <w:r>
        <w:rPr>
          <w:color w:val="5A7D3A"/>
          <w:sz w:val="18"/>
        </w:rPr>
        <w:t>https://pubmed.ncbi.nlm.nih.gov/42550510/</w:t>
      </w:r>
    </w:p>
    <w:p>
      <w:pPr>
        <w:pStyle w:val="Heading1"/>
      </w:pPr>
      <w:r>
        <w:t>Aufgenommen am 25.08.2026</w:t>
      </w:r>
    </w:p>
    <w:p>
      <w:pPr>
        <w:pStyle w:val="Heading2"/>
      </w:pPr>
      <w:r>
        <w:t>Rauchen, Alkohol und freies Essen vorhersagen Kurzschlaf und Übergewicht in der Adoleszenz</w:t>
      </w:r>
    </w:p>
    <w:p>
      <w:r>
        <w:rPr>
          <w:i/>
          <w:color w:val="666666"/>
          <w:sz w:val="18"/>
        </w:rPr>
        <w:t>Gale EL et al.  ·  Pediatr Obes  ·  Aug. 2026  ·  PMID 42554343</w:t>
      </w:r>
    </w:p>
    <w:p>
      <w:r>
        <w:t>Sekundäranalyse der Growing Up in Scotland Birth Cohort 1 von 4157 Kindern (50,2% männlich, 10-14 Jahre) zu gemeinsamen Determinanten von Kurzschlaf und erhöhter BMIp im Alter von 14 Jahren.</w:t>
      </w:r>
    </w:p>
    <w:p>
      <w:r>
        <w:rPr>
          <w:b/>
        </w:rPr>
        <w:t xml:space="preserve">Ergebnis: </w:t>
      </w:r>
      <w:r>
        <w:t>Probiertes Rauchen und Alkohol im Alter von 12 Jahren sowie unbegrenztes Essen ab 10 Jahren waren bedeutsam (β≥|0,10|) mit kürzerem Schlaf und höherer BMIp bei 14 Jahren assoziiert. Maternaler BMI war nur mit BMIp assoziiert; schlechteres emotionales Wohlbefinden und Zuckergetränk-Konsum nur mit Kurzschlaf.</w:t>
      </w:r>
    </w:p>
    <w:p>
      <w:r>
        <w:rPr>
          <w:b/>
          <w:sz w:val="19"/>
        </w:rPr>
        <w:t xml:space="preserve">Übertragbarkeit: </w:t>
      </w:r>
      <w:r>
        <w:rPr>
          <w:sz w:val="19"/>
        </w:rPr>
        <w:t>Schottland, UK-Biobank; Präventionsperspektive auf Verhaltensrisiken in Europa übertragbar.</w:t>
      </w:r>
    </w:p>
    <w:p>
      <w:r>
        <w:rPr>
          <w:color w:val="5A7D3A"/>
          <w:sz w:val="18"/>
        </w:rPr>
        <w:t>https://pubmed.ncbi.nlm.nih.gov/42554343/</w:t>
      </w:r>
    </w:p>
    <w:p>
      <w:pPr>
        <w:pStyle w:val="Heading1"/>
      </w:pPr>
      <w:r>
        <w:t>Aufgenommen am 24.08.2026</w:t>
      </w:r>
    </w:p>
    <w:p>
      <w:pPr>
        <w:pStyle w:val="Heading2"/>
      </w:pPr>
      <w:r>
        <w:t>Motorische Aktivität bei Kindern mit Adipositas nach strukturierter Bewegungsverschreibung: geringe Effekte, hohe Zufriedenheit</w:t>
      </w:r>
    </w:p>
    <w:p>
      <w:r>
        <w:rPr>
          <w:i/>
          <w:color w:val="666666"/>
          <w:sz w:val="18"/>
        </w:rPr>
        <w:t>Törnqvist J et al.  ·  BMC Public Health  ·  20.08.2026  ·  PMID 42625158</w:t>
      </w:r>
    </w:p>
    <w:p>
      <w:r>
        <w:t>Schwedische Interventionsstudie zu einem strukturierten Programm mit individueller Beratung und Bewegungsverschreibung bei 42 Kindern (6–12 Jahre) mit Adipositas über 4 Monate.</w:t>
      </w:r>
    </w:p>
    <w:p>
      <w:r>
        <w:rPr>
          <w:b/>
        </w:rPr>
        <w:t xml:space="preserve">Ergebnis: </w:t>
      </w:r>
      <w:r>
        <w:t>Keine signifikanten Änderungen der Aktivitätsmuster nach Intervention (32 gültige Accelerometer-Datensätze), Abbruchquote 16,7 %, aber hohe Zufriedenheit bei Kindern und Eltern. Die limitierte Power und kurze Dauer könnten das Fehlen von Effekten erklären.</w:t>
      </w:r>
    </w:p>
    <w:p>
      <w:r>
        <w:rPr>
          <w:b/>
          <w:sz w:val="19"/>
        </w:rPr>
        <w:t xml:space="preserve">Übertragbarkeit: </w:t>
      </w:r>
      <w:r>
        <w:rPr>
          <w:sz w:val="19"/>
        </w:rPr>
        <w:t>Skandinavien, ähnliches öffentliches Versorgungssystem mit Primärversorgung und spezialisierter Begleitung.</w:t>
      </w:r>
    </w:p>
    <w:p>
      <w:r>
        <w:rPr>
          <w:color w:val="5A7D3A"/>
          <w:sz w:val="18"/>
        </w:rPr>
        <w:t>https://pubmed.ncbi.nlm.nih.gov/42625158/</w:t>
      </w:r>
    </w:p>
    <w:p>
      <w:pPr>
        <w:pStyle w:val="Heading2"/>
      </w:pPr>
      <w:r>
        <w:t>Chirurgische Komplikationen in der Schwangerschaft nach Adipositaschirurgie: belgische Kohortenstudie zu Risiken und Outcomes</w:t>
      </w:r>
    </w:p>
    <w:p>
      <w:r>
        <w:rPr>
          <w:i/>
          <w:color w:val="666666"/>
          <w:sz w:val="18"/>
        </w:rPr>
        <w:t>De Mulder P et al.  ·  BMJ Open  ·  20.08.2026  ·  PMID 42624584</w:t>
      </w:r>
    </w:p>
    <w:p>
      <w:r>
        <w:t>Prospektive Kohortenstudie aus belgischen Geburtskliniken (65 % aller Geburten erfasst) zu chirurgischen Komplikationen in der Schwangerschaft nach bariatrischer Chirurgie (2021–2022).</w:t>
      </w:r>
    </w:p>
    <w:p>
      <w:r>
        <w:rPr>
          <w:b/>
        </w:rPr>
        <w:t xml:space="preserve">Ergebnis: </w:t>
      </w:r>
      <w:r>
        <w:t>33 Frauen mit 35 chirurgischen Komplikationen; interne Herniation am häufigsten (n=25) nach Roux-en-Y-Bypass. Alle binnen 24 h operiert, kein Todesfall, aber 48,5 % Kaiserschnitt und 13 Frühgeburten. Frühe chirurgische Intervention war mit niedriger mütterlicher Morbidität assoziiert.</w:t>
      </w:r>
    </w:p>
    <w:p>
      <w:r>
        <w:rPr>
          <w:b/>
          <w:sz w:val="19"/>
        </w:rPr>
        <w:t xml:space="preserve">Übertragbarkeit: </w:t>
      </w:r>
      <w:r>
        <w:rPr>
          <w:sz w:val="19"/>
        </w:rPr>
        <w:t>Belgien, vergleichbares europäisches Versicherungssystem mit spezialisierter Perinatalversorgung.</w:t>
      </w:r>
    </w:p>
    <w:p>
      <w:r>
        <w:rPr>
          <w:color w:val="5A7D3A"/>
          <w:sz w:val="18"/>
        </w:rPr>
        <w:t>https://pubmed.ncbi.nlm.nih.gov/42624584/</w:t>
      </w:r>
    </w:p>
    <w:p>
      <w:pPr>
        <w:pStyle w:val="Heading2"/>
      </w:pPr>
      <w:r>
        <w:t>Verhaltensbezogene Risikofaktoren bei älteren Erwachsenen in Deutschland: Nationale Gesundheit 65+</w:t>
      </w:r>
    </w:p>
    <w:p>
      <w:r>
        <w:rPr>
          <w:i/>
          <w:color w:val="666666"/>
          <w:sz w:val="18"/>
        </w:rPr>
        <w:t>Gaertner B et al.  ·  BMC Geriatr  ·  12.08.2026  ·  PMID 42587280</w:t>
      </w:r>
    </w:p>
    <w:p>
      <w:r>
        <w:t>Deutsche nationale Querschnittsstudie der Gesundheit 65+ (2021–2022) zu Prävalenz von fünf Verhaltensrisikofaktoren und deren Kombinationen bei 3.139 älteren Erwachsenen.</w:t>
      </w:r>
    </w:p>
    <w:p>
      <w:r>
        <w:rPr>
          <w:b/>
        </w:rPr>
        <w:t xml:space="preserve">Ergebnis: </w:t>
      </w:r>
      <w:r>
        <w:t>78,4 % körperlich inaktiv, 71,8 % unzureichend Gemüse/Obst, 56,3 % Alkoholverzehr, 21,0 % Adipositas, 9,9 % Rauchen. Durchschnitt 2,4 Risikofaktoren; 83,1 % mehrfach belastet. Häufigste Kombination: Alkohol + Ernährung + Inaktivität (21,8 %).</w:t>
      </w:r>
    </w:p>
    <w:p>
      <w:r>
        <w:rPr>
          <w:b/>
          <w:sz w:val="19"/>
        </w:rPr>
        <w:t xml:space="preserve">Übertragbarkeit: </w:t>
      </w:r>
      <w:r>
        <w:rPr>
          <w:sz w:val="19"/>
        </w:rPr>
        <w:t>Deutsche Daten, Stichprobendesign für ältere Erwachsene, gültig für deutsches Gesundheitswesen.</w:t>
      </w:r>
    </w:p>
    <w:p>
      <w:r>
        <w:rPr>
          <w:color w:val="5A7D3A"/>
          <w:sz w:val="18"/>
        </w:rPr>
        <w:t>https://pubmed.ncbi.nlm.nih.gov/42587280/</w:t>
      </w:r>
    </w:p>
    <w:p>
      <w:pPr>
        <w:pStyle w:val="Heading2"/>
      </w:pPr>
      <w:r>
        <w:t>Gewichtsabnahme in der niederländischen Primärversorgung: Diätetische Intensität früh entscheidend für 5%-Ziel</w:t>
      </w:r>
    </w:p>
    <w:p>
      <w:r>
        <w:rPr>
          <w:i/>
          <w:color w:val="666666"/>
          <w:sz w:val="18"/>
        </w:rPr>
        <w:t>van de Riet A et al.  ·  Clin Obes  ·  Okt. 2026  ·  PMID 42581663</w:t>
      </w:r>
    </w:p>
    <w:p>
      <w:r>
        <w:t>Retrospektive niederländische Kohortenstudie zu Gewichtsabnahme ≥5 % (klinisch relevant) in der Primärversorgung bei 4.503 Erwachsenen mit Adipositas unter diätetischer Behandlung 2016–2020.</w:t>
      </w:r>
    </w:p>
    <w:p>
      <w:r>
        <w:rPr>
          <w:b/>
        </w:rPr>
        <w:t xml:space="preserve">Ergebnis: </w:t>
      </w:r>
      <w:r>
        <w:t>33 % erreichten ≥5 % Gewichtsabnahme, 60 % davon in den ersten 3 Monaten. Jeder zusätzliche Besuch in den ersten 3 Monaten assoziiert mit dreifacher höherer Erfolgsquote (OR 3,0), in Monaten 3–6 mit 61 % höherer Quote. Frühe Behandlungsintensität ist Schlüsselprediktor.</w:t>
      </w:r>
    </w:p>
    <w:p>
      <w:r>
        <w:rPr>
          <w:b/>
          <w:sz w:val="19"/>
        </w:rPr>
        <w:t xml:space="preserve">Übertragbarkeit: </w:t>
      </w:r>
      <w:r>
        <w:rPr>
          <w:sz w:val="19"/>
        </w:rPr>
        <w:t>Niederlande, vergleichbares Versicherungssystem mit Primärversorgung und spezialisierter Diätetik.</w:t>
      </w:r>
    </w:p>
    <w:p>
      <w:r>
        <w:rPr>
          <w:color w:val="5A7D3A"/>
          <w:sz w:val="18"/>
        </w:rPr>
        <w:t>https://pubmed.ncbi.nlm.nih.gov/42581663/</w:t>
      </w:r>
    </w:p>
    <w:p>
      <w:pPr>
        <w:pStyle w:val="Heading2"/>
      </w:pPr>
      <w:r>
        <w:t>Klinische vs. präklinische Adipositas: Neue Definitionen zeigen unterschiedliche Morbiditätslasten bei Chirurgie-Kandidaten</w:t>
      </w:r>
    </w:p>
    <w:p>
      <w:r>
        <w:rPr>
          <w:i/>
          <w:color w:val="666666"/>
          <w:sz w:val="18"/>
        </w:rPr>
        <w:t>Cremona S et al.  ·  JAMA Netw Open  ·  03.08.2026  ·  PMID 42579277</w:t>
      </w:r>
    </w:p>
    <w:p>
      <w:r>
        <w:t>Internationale multizentrische Querschnittsstudie von 2.316 Patienten, die sich einer bariatrischen Chirurgie (2014–2025) in Großbritannien, Spanien, Frankreich und Brasilien unterzogen, zum Vergleich klinischer (73,8 %) vs. präklinischer Adipositas (26,2 %) hinsichtlich Organschäden und perioperativer Risiken.</w:t>
      </w:r>
    </w:p>
    <w:p>
      <w:r>
        <w:rPr>
          <w:b/>
        </w:rPr>
        <w:t xml:space="preserve">Ergebnis: </w:t>
      </w:r>
      <w:r>
        <w:t>Klinische Adipositas in allen Zentren häufiger (62,7–79,3 %). Trotz ähnlicher BMI-Verteilung: Patienten mit klinischer Adipositas älter, höhere ASA-Klasse, höheres kardiovaskuläres Risiko und Komorbiditäten. Erhöhtes Risiko für Komplikationen Grad ≥3 in Frankreich (4,0 % vs. 1,1 %, p=0,04). Die neue Definition unterscheidet nicht nur durch Gewicht, sondern durch Organdysfunktion.</w:t>
      </w:r>
    </w:p>
    <w:p>
      <w:r>
        <w:rPr>
          <w:b/>
          <w:sz w:val="19"/>
        </w:rPr>
        <w:t xml:space="preserve">Übertragbarkeit: </w:t>
      </w:r>
      <w:r>
        <w:rPr>
          <w:sz w:val="19"/>
        </w:rPr>
        <w:t>Multinational, aber Erkenntnis zur Phänotypisierung unabhängig von Kostenübernahme, relevant für deutsches Verfahren zur Einzelfallgenehmigung.</w:t>
      </w:r>
    </w:p>
    <w:p>
      <w:r>
        <w:rPr>
          <w:color w:val="5A7D3A"/>
          <w:sz w:val="18"/>
        </w:rPr>
        <w:t>https://pubmed.ncbi.nlm.nih.gov/42579277/</w:t>
      </w:r>
    </w:p>
    <w:p>
      <w:pPr>
        <w:pStyle w:val="Heading2"/>
      </w:pPr>
      <w:r>
        <w:t>Subsidierte Semaglutide bei isländischen Kindern mit Adipositas: Gewichtsverlauf unter universeller Erstattung</w:t>
      </w:r>
    </w:p>
    <w:p>
      <w:r>
        <w:rPr>
          <w:i/>
          <w:color w:val="666666"/>
          <w:sz w:val="18"/>
        </w:rPr>
        <w:t>Thorsteinsdottir S et al.  ·  Pediatr Obes  ·  Aug. 2026  ·  PMID 42543796</w:t>
      </w:r>
    </w:p>
    <w:p>
      <w:r>
        <w:t>Isländische nationale Kohortenstudie zu klinischen Outcomes unter subsidierter Semaglutide bei 113 Kindern (≥12 Jahre) mit Adipositas Grad 2 von März 2021 bis Juni 2025.</w:t>
      </w:r>
    </w:p>
    <w:p>
      <w:r>
        <w:rPr>
          <w:b/>
        </w:rPr>
        <w:t xml:space="preserve">Ergebnis: </w:t>
      </w:r>
      <w:r>
        <w:t>Semaglutide kehrte bestehenden aufwärts gerichteten Gewichtstrend um: −0,86 %IOTF30/Monat (95% KI −1,06 bis −0,66). Nach 6 Monaten −5,17 pp, nach 12 Monaten −10,33 pp. 63 % erreichten ≥10 pp Reduktion. Neurodevelopmentale Störungen modifizierten Antwort nicht signifikant (Analyse unterpowered). Universelle Erstattung ermöglichte hohe Persistenz.</w:t>
      </w:r>
    </w:p>
    <w:p>
      <w:r>
        <w:rPr>
          <w:b/>
          <w:sz w:val="19"/>
        </w:rPr>
        <w:t xml:space="preserve">Übertragbarkeit: </w:t>
      </w:r>
      <w:r>
        <w:rPr>
          <w:sz w:val="19"/>
        </w:rPr>
        <w:t>Island, universelles Erstattungssystem für GLP-1 RA bei Kindern – direktes Modell für Politikansätze jenseits restriktiver SGB-V-Regelung.</w:t>
      </w:r>
    </w:p>
    <w:p>
      <w:r>
        <w:rPr>
          <w:color w:val="5A7D3A"/>
          <w:sz w:val="18"/>
        </w:rPr>
        <w:t>https://pubmed.ncbi.nlm.nih.gov/42543796/</w:t>
      </w:r>
    </w:p>
    <w:p>
      <w:pPr>
        <w:pStyle w:val="Heading1"/>
      </w:pPr>
      <w:r>
        <w:t>Aufgenommen am 20.08.2026</w:t>
      </w:r>
    </w:p>
    <w:p>
      <w:pPr>
        <w:pStyle w:val="Heading2"/>
      </w:pPr>
      <w:r>
        <w:t>Semaglutid reduzierte Kognitives Leistungsdefizit bei Erwachsenen mit psychiatrischen Diagnosen</w:t>
      </w:r>
    </w:p>
    <w:p>
      <w:r>
        <w:rPr>
          <w:i/>
          <w:color w:val="666666"/>
          <w:sz w:val="18"/>
        </w:rPr>
        <w:t>De Giorgi R et al.  ·  BMJ Ment Health  ·  20.08.2026  ·  PMID 42624612</w:t>
      </w:r>
    </w:p>
    <w:p>
      <w:r>
        <w:t>Retrospektive Kohortenstudie (US EHR-Daten, 13 007 Patienten mit psychiatrischen Diagnosen) verglich Semaglutid mit anderen Antidiabetika bezüglich 12-Monats-Veränderungen eines klinisch bewerteten kognitiven Composite-Scores (0–100 Skala).</w:t>
      </w:r>
    </w:p>
    <w:p>
      <w:r>
        <w:rPr>
          <w:b/>
        </w:rPr>
        <w:t xml:space="preserve">Ergebnis: </w:t>
      </w:r>
      <w:r>
        <w:t>Unter Semaglutid betrug der mittlere kognitive Symptom-Score 11,14 vs. 14,91 (Kontrolle), entsprechend MR 0,75 (95%-CI 0,65–0,85, p = 0,00002), 13,46 (Glipizid, MR 0,83, p = 0,041) und 13,69 (Empagliflozin, MR 0,81, p = 0,016). Stärkere Effekte bei Memory und Depression.</w:t>
      </w:r>
    </w:p>
    <w:p>
      <w:r>
        <w:rPr>
          <w:b/>
          <w:sz w:val="19"/>
        </w:rPr>
        <w:t xml:space="preserve">Übertragbarkeit: </w:t>
      </w:r>
      <w:r>
        <w:rPr>
          <w:sz w:val="19"/>
        </w:rPr>
        <w:t>USA-EHR-Daten; Befund zu kognitiven Funktionen jenseits der Glykämie versorgungsunabhängig, aber Semaglutid-Zugang in Deutschland § 34 SGB V ausgeschlossen.</w:t>
      </w:r>
    </w:p>
    <w:p>
      <w:r>
        <w:rPr>
          <w:color w:val="5A7D3A"/>
          <w:sz w:val="18"/>
        </w:rPr>
        <w:t>https://pubmed.ncbi.nlm.nih.gov/42624612/</w:t>
      </w:r>
    </w:p>
    <w:p>
      <w:pPr>
        <w:pStyle w:val="Heading2"/>
      </w:pPr>
      <w:r>
        <w:t>Diabetes, Adipositas und metabolisches Syndrom verschärfen alkoholassoziierte Lebererkrankung erheblich</w:t>
      </w:r>
    </w:p>
    <w:p>
      <w:r>
        <w:rPr>
          <w:i/>
          <w:color w:val="666666"/>
          <w:sz w:val="18"/>
        </w:rPr>
        <w:t>Peddu DK et al.  ·  Hepatol Commun  ·  01.09.2026  ·  PMID 42623525</w:t>
      </w:r>
    </w:p>
    <w:p>
      <w:r>
        <w:t>Systematische Übersicht (19 Studien, 132 054 Patienten mit alkoholassoziierter Lebererkrankung) zu Auswirkungen von Diabetes, Adipositas und metabolischem Syndrom auf Leberprognose.</w:t>
      </w:r>
    </w:p>
    <w:p>
      <w:r>
        <w:rPr>
          <w:b/>
        </w:rPr>
        <w:t xml:space="preserve">Ergebnis: </w:t>
      </w:r>
      <w:r>
        <w:t>Diabetes erhöhte Gesamtmortalität (aHR 3,00), leberbedingte Mortalität (aHR 3,60) und HCC-Risiko (HR 1,6–21,7). Erhöhtes BMI verdoppelte kardiovaskuläre Mortalität (aHR 3,76) und HCC-Inzidenz (HR 2,0–2,9). Höhere Komorbiditätsbelastung korrelierte mit reduzierter transplantationsfreier Überlebenszeit.</w:t>
      </w:r>
    </w:p>
    <w:p>
      <w:r>
        <w:rPr>
          <w:b/>
          <w:sz w:val="19"/>
        </w:rPr>
        <w:t xml:space="preserve">Übertragbarkeit: </w:t>
      </w:r>
      <w:r>
        <w:rPr>
          <w:sz w:val="19"/>
        </w:rPr>
        <w:t>Überwiegend USA und internationale Daten; Befund zur Verschärfung der Prognose versorgungsunabhängig relevant.</w:t>
      </w:r>
    </w:p>
    <w:p>
      <w:r>
        <w:rPr>
          <w:color w:val="5A7D3A"/>
          <w:sz w:val="18"/>
        </w:rPr>
        <w:t>https://pubmed.ncbi.nlm.nih.gov/42623525/</w:t>
      </w:r>
    </w:p>
    <w:p>
      <w:pPr>
        <w:pStyle w:val="Heading2"/>
      </w:pPr>
      <w:r>
        <w:t>Mediterrane Ernährung versus Energierestriktion: keine Gewichtsvorteil nach 2 Jahren</w:t>
      </w:r>
    </w:p>
    <w:p>
      <w:r>
        <w:rPr>
          <w:i/>
          <w:color w:val="666666"/>
          <w:sz w:val="18"/>
        </w:rPr>
        <w:t>Keyserling TC et al.  ·  JAMA Netw Open  ·  03.08.2026  ·  PMID 42623075</w:t>
      </w:r>
    </w:p>
    <w:p>
      <w:r>
        <w:t>Randomisierte Studie (DELISH) verglich über 24 Monate eine mediterran geprägte Gewichtsabnahmeintervention mit kontrollierter WW-basierter Energierestriktion bei 360 Patienten mit BMI ≥ 30 aus Primärversorgung.</w:t>
      </w:r>
    </w:p>
    <w:p>
      <w:r>
        <w:rPr>
          <w:b/>
        </w:rPr>
        <w:t xml:space="preserve">Ergebnis: </w:t>
      </w:r>
      <w:r>
        <w:t>Gewichtsabnahme war zwischen Gruppen identisch: –3,40 % (mediterranes Programm) vs. –3,51 % (Kontrolle), Differenz 0,11 % (p = 0,90). Mediterrane Gruppe erreichte bessere Ernährungsqualität (AHEI +3,62 Punkte, p = 0,005), aber keine Gewichtsvorteil.</w:t>
      </w:r>
    </w:p>
    <w:p>
      <w:r>
        <w:rPr>
          <w:b/>
          <w:sz w:val="19"/>
        </w:rPr>
        <w:t xml:space="preserve">Übertragbarkeit: </w:t>
      </w:r>
      <w:r>
        <w:rPr>
          <w:sz w:val="19"/>
        </w:rPr>
        <w:t>USA, jedoch primäre Outcome (Gewichtsabnahme) ist versorgungsunabhängig übertragbar.</w:t>
      </w:r>
    </w:p>
    <w:p>
      <w:r>
        <w:rPr>
          <w:color w:val="5A7D3A"/>
          <w:sz w:val="18"/>
        </w:rPr>
        <w:t>https://pubmed.ncbi.nlm.nih.gov/42623075/</w:t>
      </w:r>
    </w:p>
    <w:p>
      <w:pPr>
        <w:pStyle w:val="Heading2"/>
      </w:pPr>
      <w:r>
        <w:t>Life's Essential 8 Scores und fortgeschrittenes kardiovaskulär-renal-metabolisches Syndrom: Nationale Querschnittsanalyse Korea</w:t>
      </w:r>
    </w:p>
    <w:p>
      <w:r>
        <w:rPr>
          <w:i/>
          <w:color w:val="666666"/>
          <w:sz w:val="18"/>
        </w:rPr>
        <w:t>Lim JA et al.  ·  Front Endocrinol (Lausanne)  ·  05.08.2026  ·  PMID 42620640</w:t>
      </w:r>
    </w:p>
    <w:p>
      <w:r>
        <w:t>Querschnittsanalyse von 17 351 koreanischen Erwachsenen (Korea NHNES 2019–2021, 2024) zur Assoziation von Verhaltens- und Gesundheitsfaktoren (Life's Essential 8) mit Stadium ≥3 des kardiovaskulär-renal-metabolischen Syndroms.</w:t>
      </w:r>
    </w:p>
    <w:p>
      <w:r>
        <w:rPr>
          <w:b/>
        </w:rPr>
        <w:t xml:space="preserve">Ergebnis: </w:t>
      </w:r>
      <w:r>
        <w:t>Jede 10-Punkte-Erhöhung des LE8-Scores reduzierte das Risiko für fortgeschrittenes CKM um aOR 0,765 (95%-CI 0,716–0,818). Personen im niedrigsten LE8-Quintil hatten 3,32-fach höhere Odds als im höchsten (95%-CI 2,30–4,80). Verhaltenskomponenten blieben über alle CKM-Stadien stabil assoziiert.</w:t>
      </w:r>
    </w:p>
    <w:p>
      <w:r>
        <w:rPr>
          <w:b/>
          <w:sz w:val="19"/>
        </w:rPr>
        <w:t xml:space="preserve">Übertragbarkeit: </w:t>
      </w:r>
      <w:r>
        <w:rPr>
          <w:sz w:val="19"/>
        </w:rPr>
        <w:t>Korea mit ähnlichem Dokumentationssystem; Asien, aber Bevölkerungsmessungen auf NHANES-Basis anwendbar.</w:t>
      </w:r>
    </w:p>
    <w:p>
      <w:r>
        <w:rPr>
          <w:color w:val="5A7D3A"/>
          <w:sz w:val="18"/>
        </w:rPr>
        <w:t>https://pubmed.ncbi.nlm.nih.gov/42620640/</w:t>
      </w:r>
    </w:p>
    <w:p>
      <w:pPr>
        <w:pStyle w:val="Heading2"/>
      </w:pPr>
      <w:r>
        <w:t>COVID-19-Lockdown erhöhte BMI bei Kindern, jüngere Kinder zeigen verzögerten Rückgang</w:t>
      </w:r>
    </w:p>
    <w:p>
      <w:r>
        <w:rPr>
          <w:i/>
          <w:color w:val="666666"/>
          <w:sz w:val="18"/>
        </w:rPr>
        <w:t>Mukasa R et al.  ·  Pediatr Int  ·  Jan. 2026  ·  PMID 42619363</w:t>
      </w:r>
    </w:p>
    <w:p>
      <w:r>
        <w:t>Längsschnittstudie anhand von Schulgesundheitsuntersuchungen in Japan (n = 711 Kinder, Messungen April 2018–April 2021) zu Alter- und Geschlechtsspezifischen BMI-Veränderungen während Lockdown und Erholung.</w:t>
      </w:r>
    </w:p>
    <w:p>
      <w:r>
        <w:rPr>
          <w:b/>
        </w:rPr>
        <w:t xml:space="preserve">Ergebnis: </w:t>
      </w:r>
      <w:r>
        <w:t>Während Lockdown stiegen BMI bei Jungen (16,60 auf 17,08 kg/m², p = 0,04) und Mädchen (16,39 auf 16,78 kg/m², p = 0,03). Kinder der Klasse 2 (7–8 Jahre) zeigten 10 Monate nach Lockdown anhaltende BMI-SDS-Erhöhungen (beide Geschlechter p &lt; 0,01); ältere Kinder erholten sich besser mit deutlichen Geschlechtsunterschieden (p &lt; 0,05).</w:t>
      </w:r>
    </w:p>
    <w:p>
      <w:r>
        <w:rPr>
          <w:b/>
          <w:sz w:val="19"/>
        </w:rPr>
        <w:t xml:space="preserve">Übertragbarkeit: </w:t>
      </w:r>
      <w:r>
        <w:rPr>
          <w:sz w:val="19"/>
        </w:rPr>
        <w:t>Japan, vergleichbare Schulgesundheitsdokumentation; Befund zu altersgestaffelten Reaktionen auf Lebensstilstörung übertragbar.</w:t>
      </w:r>
    </w:p>
    <w:p>
      <w:r>
        <w:rPr>
          <w:color w:val="5A7D3A"/>
          <w:sz w:val="18"/>
        </w:rPr>
        <w:t>https://pubmed.ncbi.nlm.nih.gov/42619363/</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Adipositas</dc:title>
  <dc:subject/>
  <dc:creator>Monitor Versorgungsforschung</dc:creator>
  <cp:keywords/>
  <dc:description>generated by python-docx</dc:description>
  <cp:lastModifiedBy/>
  <cp:revision>1</cp:revision>
  <dcterms:created xsi:type="dcterms:W3CDTF">2026-09-28T06:00:00Z</dcterms:created>
  <dcterms:modified xsi:type="dcterms:W3CDTF">2026-09-28T06:00:00Z</dcterms:modified>
  <cp:category/>
</cp:coreProperties>
</file>