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26.09.2026  |  6 Studien  |  adipositas.m-vf.de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Medicaid-Erstattung für GLP-1-Rezeptoragonisten verdoppelt Nutzung ohne Substitution von Diabetes-Präparaten</w:t>
      </w:r>
    </w:p>
    <w:p>
      <w:r>
        <w:rPr>
          <w:i/>
          <w:color w:val="666666"/>
          <w:sz w:val="18"/>
        </w:rPr>
        <w:t>Khanna R et al.  ·  JAMA Health Forum  ·  04.09.2026  ·  PMID 42789287</w:t>
      </w:r>
    </w:p>
    <w:p>
      <w:r>
        <w:t>Analyse der Auswirkungen der Medicaid-Leistung für Adipositas-GLP-1-Rezeptoragonisten auf die Gesamtnutzung zwischen 2021 und 2024 in den USA.</w:t>
      </w:r>
    </w:p>
    <w:p>
      <w:r>
        <w:rPr>
          <w:b/>
        </w:rPr>
        <w:t xml:space="preserve">Ergebnis: </w:t>
      </w:r>
      <w:r>
        <w:t>Zustände, die GLP-1-Rezeptoragonisten für Adipositas erstatteten, zeigten eine mittlere Zunahme um 6,48 Verschreibungen/1000 Versicherte (95%-KI: 4,00–8,96; p&lt;0,001). Die Gesamt-GLP-1-Nutzung nahm nicht signifikant zu (4,17 [95%-KI: −0,33 bis 8,67]; p=0,07), Diabetes-GLP-1-Nutzung sank nicht (−2,16 [95%-KI: −5,27 bis 0,96]). In Staaten mit restriktiven Prior-Authorization-Anforderungen fiel die Diabetes-GLP-1-Nutzung (−3,02 [95%-KI: −5,69 bis −0,36]; p=0,03).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 der Kostenübernahme und Durchsatzeffekte liegt dem deutschen SGB-V-Ausschluss zugrunde</w:t>
      </w:r>
    </w:p>
    <w:p>
      <w:r>
        <w:rPr>
          <w:color w:val="5A7D3A"/>
          <w:sz w:val="18"/>
        </w:rPr>
        <w:t>https://pubmed.ncbi.nlm.nih.gov/42789287/</w:t>
      </w:r>
    </w:p>
    <w:p>
      <w:pPr>
        <w:pStyle w:val="Heading2"/>
      </w:pPr>
      <w:r>
        <w:t>Hohes Geburtsgewicht bleibt mit Übergewicht im Schulalter assoziiert trotz sinkendem Trend</w:t>
      </w:r>
    </w:p>
    <w:p>
      <w:r>
        <w:rPr>
          <w:i/>
          <w:color w:val="666666"/>
          <w:sz w:val="18"/>
        </w:rPr>
        <w:t>Rossi CE et al.  ·  Sao Paulo Med J  ·  21.09.2026  ·  PMID 42788534</w:t>
      </w:r>
    </w:p>
    <w:p>
      <w:r>
        <w:t>Panel-Kohortenstudie bei 4 Querschnittserhebungen (2002–2019) in Florianópolis, Brasilien, zur Assoziation zwischen Geburtsgewicht und Übergewicht/Adipositas bei Schulkindern (7–10 Jahre).</w:t>
      </w:r>
    </w:p>
    <w:p>
      <w:r>
        <w:rPr>
          <w:b/>
        </w:rPr>
        <w:t xml:space="preserve">Ergebnis: </w:t>
      </w:r>
      <w:r>
        <w:t>Niedriges Geburtsgewicht stieg um 58,3 % von 2002 bis 2018–2019; hohes Geburtsgewicht sank um 40,7 % zwischen 2002 und 2012–2013. Hohes Geburtsgewicht war durchgängig mit Übergewicht/Adipositas assoziiert (OR = 1,63 [95%-KI: 1,32–2,00]) über alle Erhebungswellen hinweg, unabhängig von Lebensmittelzufuhr und anderen Störfaktoren.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Südamerika, aber frühe Lebensphasenforschung und fetale Programmierung grundsätzlich übertragbar</w:t>
      </w:r>
    </w:p>
    <w:p>
      <w:r>
        <w:rPr>
          <w:color w:val="5A7D3A"/>
          <w:sz w:val="18"/>
        </w:rPr>
        <w:t>https://pubmed.ncbi.nlm.nih.gov/42788534/</w:t>
      </w:r>
    </w:p>
    <w:p>
      <w:pPr>
        <w:pStyle w:val="Heading2"/>
      </w:pPr>
      <w:r>
        <w:t>Laparoskopische Roux-en-Y-Bypass verkürzt Krankenhausverweilsdauer um 0,97 Tage gegenüber offener Chirurgie</w:t>
      </w:r>
    </w:p>
    <w:p>
      <w:r>
        <w:rPr>
          <w:i/>
          <w:color w:val="666666"/>
          <w:sz w:val="18"/>
        </w:rPr>
        <w:t>Bookobza TL et al.  ·  Arq Bras Cir Dig  ·  18.09.2026  ·  PMID 42788531</w:t>
      </w:r>
    </w:p>
    <w:p>
      <w:r>
        <w:t>Vergleichende Kohortenstudie bei Patienten mit Adipositas, die sich einem Roux-en-Y-Magenbypass entweder laparoskopisch oder offen unterzogen, zur Krankenhausverweilsdauer.</w:t>
      </w:r>
    </w:p>
    <w:p>
      <w:r>
        <w:rPr>
          <w:b/>
        </w:rPr>
        <w:t xml:space="preserve">Ergebnis: </w:t>
      </w:r>
      <w:r>
        <w:t>Patienten mit laparoskopischer Roux-en-Y-Gastroplastik blieben durchschnittlich 2,45 Tage hospitalisiert (SD=1,12), gegenüber 3,42 Tagen (SD=1,17) bei offenem Zugang (p&lt;0,05). Dies ist statistisch und klinisch signifikant und hat finanzielle Auswirkungen durch verkürzte Bettenauslastung und reduzierte Hospitalisierungskosten.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OP-Technik und Kostenwirkung in Gesundheitssystemen vergleichbar</w:t>
      </w:r>
    </w:p>
    <w:p>
      <w:r>
        <w:rPr>
          <w:color w:val="5A7D3A"/>
          <w:sz w:val="18"/>
        </w:rPr>
        <w:t>https://pubmed.ncbi.nlm.nih.gov/42788531/</w:t>
      </w:r>
    </w:p>
    <w:p>
      <w:pPr>
        <w:pStyle w:val="Heading2"/>
      </w:pPr>
      <w:r>
        <w:t>Mahlzeiten-Auslassen verdreifacht Übergewichtsrisiko bei brasilianischen Adoleszenten</w:t>
      </w:r>
    </w:p>
    <w:p>
      <w:r>
        <w:rPr>
          <w:i/>
          <w:color w:val="666666"/>
          <w:sz w:val="18"/>
        </w:rPr>
        <w:t>Santos FBD et al.  ·  Cien Saude Colet  ·  21.09.2026  ·  PMID 42788505</w:t>
      </w:r>
    </w:p>
    <w:p>
      <w:r>
        <w:t>Querschnittstudie bei 382 Schulkindern aus öffentlichen Schulen in Rio de Janeiro zum Zusammenhang zwischen Mahlzeiten-Auslassen, Mahlzeiten-Ersetzen und Übergewicht/Adipositas.</w:t>
      </w:r>
    </w:p>
    <w:p>
      <w:r>
        <w:rPr>
          <w:b/>
        </w:rPr>
        <w:t xml:space="preserve">Ergebnis: </w:t>
      </w:r>
      <w:r>
        <w:t>Jungen, die Abendessen ausließen, hatten eine 3,13-fach höhere Wahrscheinlichkeit für Übergewicht (95%-KI: 1,06–9,21); Mädchen, die Frühstück ausließen, eine 2,20-fach höhere Wahrscheinlichkeit (95%-KI: 1,10–4,41). Keine Assoziation zwischen Ersetzen von Mahlzeiten und Übergewicht gefunden.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Verhaltensmuster bei Adoleszenten und Mahlzeitenmuster grundsätzlich übertragbar</w:t>
      </w:r>
    </w:p>
    <w:p>
      <w:r>
        <w:rPr>
          <w:color w:val="5A7D3A"/>
          <w:sz w:val="18"/>
        </w:rPr>
        <w:t>https://pubmed.ncbi.nlm.nih.gov/42788505/</w:t>
      </w:r>
    </w:p>
    <w:p>
      <w:pPr>
        <w:pStyle w:val="Heading2"/>
      </w:pPr>
      <w:r>
        <w:t>Schulbasierte Adipositasprävention in Europa: Umsetzungshindernisse und Abdeckung in 14 Ländern</w:t>
      </w:r>
    </w:p>
    <w:p>
      <w:r>
        <w:rPr>
          <w:i/>
          <w:color w:val="666666"/>
          <w:sz w:val="18"/>
        </w:rPr>
        <w:t>Rallis I et al.  ·  Front Public Health  ·  10.09.2026  ·  PMID 42787437</w:t>
      </w:r>
    </w:p>
    <w:p>
      <w:r>
        <w:t>Analyse von Umfang, finanziellen Grenzen und Ergebnissen schulbasierter und komplementärer Adipositaspräventionsprogramme für Kinder und Jugendliche in 14 europäischen Ländern.</w:t>
      </w:r>
    </w:p>
    <w:p>
      <w:r>
        <w:rPr>
          <w:b/>
        </w:rPr>
        <w:t xml:space="preserve">Ergebnis: </w:t>
      </w:r>
      <w:r>
        <w:t>Die Hauptlimitationen bestehender Interventionsprogramme sind unzureichende Penetrationstiefe und Skalierungsprobleme; es fehlt ein strukturiertes Framework zur Bewertung dieser Policies innerhalb eines Multi-Actor-, Context-Aware-Ansatzes in Europa. Die Analyse deckt Abdeckung, finanzielle Limitationen und strukturelle sowie pädagogische Systemgrenzen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Vergleichsstudie, direkt auf deutsche Politikgestaltung anwendbar</w:t>
      </w:r>
    </w:p>
    <w:p>
      <w:r>
        <w:rPr>
          <w:color w:val="5A7D3A"/>
          <w:sz w:val="18"/>
        </w:rPr>
        <w:t>https://pubmed.ncbi.nlm.nih.gov/42787437/</w:t>
      </w:r>
    </w:p>
    <w:p>
      <w:pPr>
        <w:pStyle w:val="Heading2"/>
      </w:pPr>
      <w:r>
        <w:t>Sarkopenische Adipositas erhöht Inkontinenz-Risiko bei älteren Frauen um 80 Prozent</w:t>
      </w:r>
    </w:p>
    <w:p>
      <w:r>
        <w:rPr>
          <w:i/>
          <w:color w:val="666666"/>
          <w:sz w:val="18"/>
        </w:rPr>
        <w:t>Deveci NÖ et al.  ·  Geriatr Gerontol Int  ·  Okt. 2026  ·  PMID 42786931</w:t>
      </w:r>
    </w:p>
    <w:p>
      <w:r>
        <w:t>Querschnittstudie bei 535 Frauen ≥60 Jahren aus der Gemeinde zur Prävalenz von Urininkontinenz in Abhängigkeit von Sarcopenia und sarkopenischer Adipositas sowie Assoziationen mit anderen geriatrischen Syndromen.</w:t>
      </w:r>
    </w:p>
    <w:p>
      <w:r>
        <w:rPr>
          <w:b/>
        </w:rPr>
        <w:t xml:space="preserve">Ergebnis: </w:t>
      </w:r>
      <w:r>
        <w:t>Urininkontinenz wurde von 49,9 % berichtet. Frauen mit Inkontinenz hatten höheren BMI, häufigere Stürze, mehr Gebrechlichkeit und depressive Symptome. In multivariablen Modellen waren Sturzanamnese (adjustierte OR 2,05 [95%-KI: 1,38–3,02]), SARC-F-Score (aOR 1,12 [1,02–1,22]) und BMI-definierte sarkopenische Adipositas (aOR 1,80 [1,09–2,96]) unabhängige Prädiktoren der Urininkontinenz.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geriatrische Multimorbidität und Funktionsfähigkeit in Europa vergleichbar</w:t>
      </w:r>
    </w:p>
    <w:p>
      <w:r>
        <w:rPr>
          <w:color w:val="5A7D3A"/>
          <w:sz w:val="18"/>
        </w:rPr>
        <w:t>https://pubmed.ncbi.nlm.nih.gov/42786931/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