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26.10.2026  |  388 Studien  |  adipositas.m-vf.de</w:t>
      </w:r>
    </w:p>
    <w:p>
      <w:pPr>
        <w:pStyle w:val="Heading1"/>
      </w:pPr>
      <w:r>
        <w:t>Aufgenommen am 26.10.2026</w:t>
      </w:r>
    </w:p>
    <w:p>
      <w:pPr>
        <w:pStyle w:val="Heading2"/>
      </w:pPr>
      <w:r>
        <w:t>Psychische Belastung erschwert Gewichtsabnahme: Adipositasprogramme müssen trauma-informiert werden</w:t>
      </w:r>
    </w:p>
    <w:p>
      <w:r>
        <w:rPr>
          <w:i/>
          <w:color w:val="666666"/>
          <w:sz w:val="18"/>
        </w:rPr>
        <w:t>Rysinova V et al.  ·  Health Expect  ·  Okt. 2026  ·  PMID 42927661</w:t>
      </w:r>
    </w:p>
    <w:p>
      <w:r>
        <w:t>Qualitative Studie mit Interviews von 11 Patienten und 11 Fachleuten aus britischen Tier-2-Gewichtsmanagement-Diensten zur Frage, wie Menschen mit Adipositas und Symptomen psychischer Erkrankungen (Depression, Angststörung, PTBS) Verhaltensänderungen erleben.</w:t>
      </w:r>
    </w:p>
    <w:p>
      <w:r>
        <w:rPr>
          <w:b/>
        </w:rPr>
        <w:t xml:space="preserve">Ergebnis: </w:t>
      </w:r>
      <w:r>
        <w:t>Hauptbarrieren waren emotionale Fluktuation, Stigma, geringe Selbstwirksamkeit und strukturelle Zwänge. Förderlich waren Selbstmitgefühl, emotionale Regulation, kleine erreichbare Ziele, inklusive Gruppen und unterstützende Fachleute-Beziehungen. Die standardisierten, gewichtsfokussierten Programme waren schlecht auf psychische Belastungen ausgerichtet.</w:t>
      </w:r>
    </w:p>
    <w:p>
      <w:r>
        <w:rPr>
          <w:b/>
          <w:sz w:val="19"/>
        </w:rPr>
        <w:t xml:space="preserve">Übertragbarkeit: </w:t>
      </w:r>
      <w:r>
        <w:rPr>
          <w:sz w:val="19"/>
        </w:rPr>
        <w:t>Großbritannien, NHS-Struktur; Empfehlungen auf deutsches Versorgungssystem übertragbar.</w:t>
      </w:r>
    </w:p>
    <w:p>
      <w:r>
        <w:rPr>
          <w:color w:val="5A7D3A"/>
          <w:sz w:val="18"/>
        </w:rPr>
        <w:t>https://pubmed.ncbi.nlm.nih.gov/42927661/</w:t>
      </w:r>
    </w:p>
    <w:p>
      <w:pPr>
        <w:pStyle w:val="Heading2"/>
      </w:pPr>
      <w:r>
        <w:t>Soziale Benachteiligung in der Kindheit erhöht Adipositas-Bluthochdruck-Komorbidität im mittleren Alter</w:t>
      </w:r>
    </w:p>
    <w:p>
      <w:r>
        <w:rPr>
          <w:i/>
          <w:color w:val="666666"/>
          <w:sz w:val="18"/>
        </w:rPr>
        <w:t>Stannard S et al.  ·  J Obes  ·  2026  ·  PMID 42927470</w:t>
      </w:r>
    </w:p>
    <w:p>
      <w:r>
        <w:t>Longitudinale Kohortenstudie mit 9.150 Teilnehmern aus der britischen Geburtskohorte 1958 zur Vorhersage von Adipositas und erhöhtem Blutdruck im Alter von 44 Jahren anhand von fünf Domänen früher Lebensfaktoren.</w:t>
      </w:r>
    </w:p>
    <w:p>
      <w:r>
        <w:rPr>
          <w:b/>
        </w:rPr>
        <w:t xml:space="preserve">Ergebnis: </w:t>
      </w:r>
      <w:r>
        <w:t>Sozioökonomische Faktoren waren der stärkste Domänen-Prädiktor (OR 1,28; 95%-KI 1,19–1,38). Das Gesamtmodell erreichte eine AUC von 0,70. Nach Einbeziehung von Erwachsenenfaktoren blieben robuste Assoziationen für Sozioökonomie, Bildung und Verhalten bestehen.</w:t>
      </w:r>
    </w:p>
    <w:p>
      <w:r>
        <w:rPr>
          <w:b/>
          <w:sz w:val="19"/>
        </w:rPr>
        <w:t xml:space="preserve">Übertragbarkeit: </w:t>
      </w:r>
      <w:r>
        <w:rPr>
          <w:sz w:val="19"/>
        </w:rPr>
        <w:t>Großbritannien, vergleichbare Wohlfahrtssysteme; frühe soziale Prävention relevant für Deutschland.</w:t>
      </w:r>
    </w:p>
    <w:p>
      <w:r>
        <w:rPr>
          <w:color w:val="5A7D3A"/>
          <w:sz w:val="18"/>
        </w:rPr>
        <w:t>https://pubmed.ncbi.nlm.nih.gov/42927470/</w:t>
      </w:r>
    </w:p>
    <w:p>
      <w:pPr>
        <w:pStyle w:val="Heading2"/>
      </w:pPr>
      <w:r>
        <w:t>Psychische Outcomes nach Adipositaschirurgie: Verbesserungen und ernsthafte Belastungen treten gleichzeitig auf</w:t>
      </w:r>
    </w:p>
    <w:p>
      <w:r>
        <w:rPr>
          <w:i/>
          <w:color w:val="666666"/>
          <w:sz w:val="18"/>
        </w:rPr>
        <w:t>El Ansari W et al.  ·  Curr Obes Rep  ·  24.10.2026  ·  PMID 42925358</w:t>
      </w:r>
    </w:p>
    <w:p>
      <w:r>
        <w:t>Scoping Review von 251 Studien zu psychischen Ergebnissen und mentalen Gesundheitsverlauf nach metabolischer und bariatrischer Chirurgie, darunter desirable Outcomes (verbesserte Stimmung, Angst, Body Image) und unerwünschte Outcomes (Suizidalität, Substanzmissbrauch, psychosoziale Belastung).</w:t>
      </w:r>
    </w:p>
    <w:p>
      <w:r>
        <w:rPr>
          <w:b/>
        </w:rPr>
        <w:t xml:space="preserve">Ergebnis: </w:t>
      </w:r>
      <w:r>
        <w:t>Psychische Gewinne und Belastungen koexistierten häufig innerhalb desselben Patienten über Zeit. Verbesserungen bei depressiven und Angststörungen waren größer im ersten Jahr und kleiner danach oder teilweise reversibel. Symptome persistierten oder verschlechterten sich bei Subgruppen. Vorteile unterschieden sich nach Geschlecht, Ethnizität, Alter und psychiatrischer Vorgeschichte. 37 Studien trugen zu beiden Armen bei.</w:t>
      </w:r>
    </w:p>
    <w:p>
      <w:r>
        <w:rPr>
          <w:b/>
          <w:sz w:val="19"/>
        </w:rPr>
        <w:t xml:space="preserve">Übertragbarkeit: </w:t>
      </w:r>
      <w:r>
        <w:rPr>
          <w:sz w:val="19"/>
        </w:rPr>
        <w:t>Internationale Evidenz; biopsychosoziale, multidisziplinäre Langzeitbetreuung essentiell.</w:t>
      </w:r>
    </w:p>
    <w:p>
      <w:r>
        <w:rPr>
          <w:color w:val="5A7D3A"/>
          <w:sz w:val="18"/>
        </w:rPr>
        <w:t>https://pubmed.ncbi.nlm.nih.gov/42925358/</w:t>
      </w:r>
    </w:p>
    <w:p>
      <w:pPr>
        <w:pStyle w:val="Heading2"/>
      </w:pPr>
      <w:r>
        <w:t>Adipositas erhöht Gesundheitsausgaben bei kardiovaskulären Erkrankungen: Kosten bis 1,3-fach höher</w:t>
      </w:r>
    </w:p>
    <w:p>
      <w:r>
        <w:rPr>
          <w:i/>
          <w:color w:val="666666"/>
          <w:sz w:val="18"/>
        </w:rPr>
        <w:t>Zhang Y et al.  ·  J Manag Care Spec Pharm  ·  Nov. 2026  ·  PMID 42925253</w:t>
      </w:r>
    </w:p>
    <w:p>
      <w:r>
        <w:t>Retrospektive Kohortenanalyse mit US-Verwaltungsdaten und elektronischen Patientenakten von 26.430 Personen in Primärprävention und 9.020 in Sekundärprävention (2007–2023) zu Gesundheitsausgaben nach BMI-Kategorie über 5 Jahre Nachbeobachtung.</w:t>
      </w:r>
    </w:p>
    <w:p>
      <w:r>
        <w:rPr>
          <w:b/>
        </w:rPr>
        <w:t xml:space="preserve">Ergebnis: </w:t>
      </w:r>
      <w:r>
        <w:t>Unadjustierte Gesamtausgaben stiegen mit höherer BMI-Klasse konsistent über alle Nachbeobachtungsjahre. Nach Anpassung waren Gesamtkosten bei Adipositas 1,1-fach (Klasse I: ≥30 bis &lt;35 kg/m²) bis 1,3-fach (Klasse III: ≥40 kg/m²) höher als bei Normalgewicht in beiden Kohorten.</w:t>
      </w:r>
    </w:p>
    <w:p>
      <w:r>
        <w:rPr>
          <w:b/>
          <w:sz w:val="19"/>
        </w:rPr>
        <w:t xml:space="preserve">Übertragbarkeit: </w:t>
      </w:r>
      <w:r>
        <w:rPr>
          <w:sz w:val="19"/>
        </w:rPr>
        <w:t>USA, kommerzielle Krankenversicherung; Kostenmuster teilweise übertragbar, aber Erstattungskontexte unterschiedlich.</w:t>
      </w:r>
    </w:p>
    <w:p>
      <w:r>
        <w:rPr>
          <w:color w:val="5A7D3A"/>
          <w:sz w:val="18"/>
        </w:rPr>
        <w:t>https://pubmed.ncbi.nlm.nih.gov/42925253/</w:t>
      </w:r>
    </w:p>
    <w:p>
      <w:pPr>
        <w:pStyle w:val="Heading2"/>
      </w:pPr>
      <w:r>
        <w:t>Motivierende Gesprächsführung bei Übergewicht mit PCOS: BMI sank, Lebensstil verbesserte sich</w:t>
      </w:r>
    </w:p>
    <w:p>
      <w:r>
        <w:rPr>
          <w:i/>
          <w:color w:val="666666"/>
          <w:sz w:val="18"/>
        </w:rPr>
        <w:t>Nejad FK et al.  ·  Rev Bras Ginecol Obstet  ·  20.08.2026  ·  PMID 42923857</w:t>
      </w:r>
    </w:p>
    <w:p>
      <w:r>
        <w:t>Randomisierte kontrollierte Studie mit 60 übergewichtigen Frauen mit PCOS im Iran; Interventionsgruppe erhielt fünf 90-Minuten-Sitzungen motivierende Gesprächsführung, Kontrollgruppe Informationsbroschüre; Nachbeobachtung 12 Wochen.</w:t>
      </w:r>
    </w:p>
    <w:p>
      <w:r>
        <w:rPr>
          <w:b/>
        </w:rPr>
        <w:t xml:space="preserve">Ergebnis: </w:t>
      </w:r>
      <w:r>
        <w:t>In der Interventionsgruppe stieg der Lebensstil-Score signifikant von 121,83±17,44 auf 142,03±14,48 (p&lt;0,001). Der BMI sank von 27,27±1,16 auf 26,50±1,32 (p&lt;0,001). Signifikante Differenzen zwischen Gruppen bei Lebensstil-Score (p=0,003) und BMI (p=0,03).</w:t>
      </w:r>
    </w:p>
    <w:p>
      <w:r>
        <w:rPr>
          <w:b/>
          <w:sz w:val="19"/>
        </w:rPr>
        <w:t xml:space="preserve">Übertragbarkeit: </w:t>
      </w:r>
      <w:r>
        <w:rPr>
          <w:sz w:val="19"/>
        </w:rPr>
        <w:t>Iran, aber Methode (motivierende Gesprächsführung) ist sprachunabhängig und in deutschem Versorgungssystem etabliert.</w:t>
      </w:r>
    </w:p>
    <w:p>
      <w:r>
        <w:rPr>
          <w:color w:val="5A7D3A"/>
          <w:sz w:val="18"/>
        </w:rPr>
        <w:t>https://pubmed.ncbi.nlm.nih.gov/42923857/</w:t>
      </w:r>
    </w:p>
    <w:p>
      <w:pPr>
        <w:pStyle w:val="Heading2"/>
      </w:pPr>
      <w:r>
        <w:t>Essverhalten-Phänotypen zur Früherkennung: Neue Grenzwerte für personalisierte Adipositasbehandlung bei Kindern</w:t>
      </w:r>
    </w:p>
    <w:p>
      <w:r>
        <w:rPr>
          <w:i/>
          <w:color w:val="666666"/>
          <w:sz w:val="18"/>
        </w:rPr>
        <w:t>Kudlek L et al.  ·  Int J Behav Nutr Phys Act  ·  25.07.2026  ·  PMID 42919389</w:t>
      </w:r>
    </w:p>
    <w:p>
      <w:r>
        <w:t>Individuelle Teilnehmerdaten-Metaanalyse von 17 internationalen Studien mit 15.273 Kindern (2–18 Jahre) zur Identifikation von Essverhalten-Phänotypen mittels CEBQ-Subskalen und Ableitung klinisch nutzbarer Grenzwerte.</w:t>
      </w:r>
    </w:p>
    <w:p>
      <w:r>
        <w:rPr>
          <w:b/>
        </w:rPr>
        <w:t xml:space="preserve">Ergebnis: </w:t>
      </w:r>
      <w:r>
        <w:t>AUC-Werte der CEBQ-Subskalen lagen zwischen 0,60 und 0,71. Bester Grenzwert für Mädchen 7–12 Jahre bei Nahrungsreaktivität: 2,6 (Sensitivität 0,81, Spezifität 0,85). Leistung war besser in mittlerer Kindheit als früher Kindheit.</w:t>
      </w:r>
    </w:p>
    <w:p>
      <w:r>
        <w:rPr>
          <w:b/>
          <w:sz w:val="19"/>
        </w:rPr>
        <w:t xml:space="preserve">Übertragbarkeit: </w:t>
      </w:r>
      <w:r>
        <w:rPr>
          <w:sz w:val="19"/>
        </w:rPr>
        <w:t>Internationale Daten; Grenzwerte müssen für deutschsprachigen Raum validiert werden.</w:t>
      </w:r>
    </w:p>
    <w:p>
      <w:r>
        <w:rPr>
          <w:color w:val="5A7D3A"/>
          <w:sz w:val="18"/>
        </w:rPr>
        <w:t>https://pubmed.ncbi.nlm.nih.gov/42919389/</w:t>
      </w:r>
    </w:p>
    <w:p>
      <w:pPr>
        <w:pStyle w:val="Heading1"/>
      </w:pPr>
      <w:r>
        <w:t>Aufgenommen am 25.10.2026</w:t>
      </w:r>
    </w:p>
    <w:p>
      <w:pPr>
        <w:pStyle w:val="Heading2"/>
      </w:pPr>
      <w:r>
        <w:t>Dynamische Änderungen von Adipositas-Indizes sagen kardiovaskuläres Risiko voraus</w:t>
      </w:r>
    </w:p>
    <w:p>
      <w:r>
        <w:rPr>
          <w:i/>
          <w:color w:val="666666"/>
          <w:sz w:val="18"/>
        </w:rPr>
        <w:t>You J et al.  ·  Front Endocrinol (Lausanne)  ·  09.10.2026  ·  PMID 42920460</w:t>
      </w:r>
    </w:p>
    <w:p>
      <w:r>
        <w:t>Prospektive Kohortenstudie mit 19.315 kardiovaskulär-freien Teilnehmern aus der Jinchang-Kohorte in Nordwestchina über median 66 Monate zur Assoziation zwischen Änderungen in sieben Adipositas- und Lipid-Indizes und kardiovaskulärer Inzidenz.</w:t>
      </w:r>
    </w:p>
    <w:p>
      <w:r>
        <w:rPr>
          <w:b/>
        </w:rPr>
        <w:t xml:space="preserve">Ergebnis: </w:t>
      </w:r>
      <w:r>
        <w:t>Über die Nachverfolgung entwickelten 3.200 (16,57%) Teilnehmer kardiovaskuläre Erkrankungen. Die höchsten Änderungsklassen aller Indizes zeigten signifikant erhöhtes Risiko, mit stärksten Assoziationen für TyG-BMI (OR: 3,988; 95%-KI 3,419–4,650), TyG-WC (OR: 3,797) und CVAI (OR: 3,695). CVAI (AUC: 0,642) und kumulatives METS-VF (AUC: 0,659) zeigten höchste prädiktive Fähigkeit.</w:t>
      </w:r>
    </w:p>
    <w:p>
      <w:r>
        <w:rPr>
          <w:b/>
          <w:sz w:val="19"/>
        </w:rPr>
        <w:t xml:space="preserve">Übertragbarkeit: </w:t>
      </w:r>
      <w:r>
        <w:rPr>
          <w:sz w:val="19"/>
        </w:rPr>
        <w:t>China, alternative Adipositas-Indizes, begrenzte Direktübertragbarkeit auf deutsches System.</w:t>
      </w:r>
    </w:p>
    <w:p>
      <w:r>
        <w:rPr>
          <w:color w:val="5A7D3A"/>
          <w:sz w:val="18"/>
        </w:rPr>
        <w:t>https://pubmed.ncbi.nlm.nih.gov/42920460/</w:t>
      </w:r>
    </w:p>
    <w:p>
      <w:pPr>
        <w:pStyle w:val="Heading2"/>
      </w:pPr>
      <w:r>
        <w:t>GLP-1-Rezeptoragonisten senken Knochendichte bei Gewichtsverlust über 6 kg</w:t>
      </w:r>
    </w:p>
    <w:p>
      <w:r>
        <w:rPr>
          <w:i/>
          <w:color w:val="666666"/>
          <w:sz w:val="18"/>
        </w:rPr>
        <w:t>Lai CH et al.  ·  Arch Osteoporos  ·  23.10.2026  ·  PMID 42920024</w:t>
      </w:r>
    </w:p>
    <w:p>
      <w:r>
        <w:t>Systematische Übersichtsarbeit von 8 RCTs mit 493 Patienten zur Bewertung der Knochenmineraldichte (DXA) unter GLP-1-Rezeptoragonisten im Vergleich zu Placebo oder anderen Antidiabetika bei Übergewicht und Adipositas.</w:t>
      </w:r>
    </w:p>
    <w:p>
      <w:r>
        <w:rPr>
          <w:b/>
        </w:rPr>
        <w:t xml:space="preserve">Ergebnis: </w:t>
      </w:r>
      <w:r>
        <w:t>Der einzelne Semaglutide-RCT (n=64, niedriges Verzerrungsrisiko) mit größtem Gewichtsverlust (−6,8 kg) zeigte Reduktion der lumbalen Wirbelsäulen-BMD (−0,018 g/cm², p=0,007) und Ganzkörper-BMD (−0,02 g/cm²; 95%-KI −0,03 bis −0,01). Liraglutide 3,0 mg (n=64, ohne Diabetes) reduzierten lumbale (−0,019 g/cm²) und Hüft-BMD (−0,013 g/cm²). Evidenzsicherheit sehr niedrig für alle Agentien.</w:t>
      </w:r>
    </w:p>
    <w:p>
      <w:r>
        <w:rPr>
          <w:b/>
          <w:sz w:val="19"/>
        </w:rPr>
        <w:t xml:space="preserve">Übertragbarkeit: </w:t>
      </w:r>
      <w:r>
        <w:rPr>
          <w:sz w:val="19"/>
        </w:rPr>
        <w:t>USA/international, nur Skeletteffekt übertragbar, nicht Kostenübernahmestatus.</w:t>
      </w:r>
    </w:p>
    <w:p>
      <w:r>
        <w:rPr>
          <w:color w:val="5A7D3A"/>
          <w:sz w:val="18"/>
        </w:rPr>
        <w:t>https://pubmed.ncbi.nlm.nih.gov/42920024/</w:t>
      </w:r>
    </w:p>
    <w:p>
      <w:pPr>
        <w:pStyle w:val="Heading2"/>
      </w:pPr>
      <w:r>
        <w:t>GLP-1-Rezeptoragonisten reduzieren antipsychotika-assoziiertes Übergewicht um 6,5 kg</w:t>
      </w:r>
    </w:p>
    <w:p>
      <w:r>
        <w:rPr>
          <w:i/>
          <w:color w:val="666666"/>
          <w:sz w:val="18"/>
        </w:rPr>
        <w:t>Zhou L et al.  ·  Eur J Clin Pharmacol  ·  24.10.2026  ·  PMID 42920001</w:t>
      </w:r>
    </w:p>
    <w:p>
      <w:r>
        <w:t>Systematische Übersichtsarbeit mit Metaanalyse von 8 RCTs mit 535 Patienten, die GLP-1-Rezeptoragonisten gegen Placebo oder Vergleichstherapie bei Patienten unter antipsychotischer Behandlung prüften.</w:t>
      </w:r>
    </w:p>
    <w:p>
      <w:r>
        <w:rPr>
          <w:b/>
        </w:rPr>
        <w:t xml:space="preserve">Ergebnis: </w:t>
      </w:r>
      <w:r>
        <w:t>GLP-1-Agonisten führten zu signifikanten Reduktionen von Körpergewicht (mittlere Differenz −6,54 kg; 95%-KI −9,80 bis −3,29), BMI (−2,34 kg/m²; 95%-KI −3,34 bis −1,34), HbA1c (−0,32%; 95%-KI −0,39 bis −0,26) und Taillenumfang (−5,22 cm; 95%-KI −6,55 bis −3,88). Nausea, Erbrechen und Obstipation traten häufiger auf, ernsthafte Nebenwirkungen nicht signifikant erhöht.</w:t>
      </w:r>
    </w:p>
    <w:p>
      <w:r>
        <w:rPr>
          <w:b/>
          <w:sz w:val="19"/>
        </w:rPr>
        <w:t xml:space="preserve">Übertragbarkeit: </w:t>
      </w:r>
      <w:r>
        <w:rPr>
          <w:sz w:val="19"/>
        </w:rPr>
        <w:t>Chinesische Studie, internationale Datenbank, Transferbarkeit auf deutsches System begrenzt durch Kostenübernahmeregelung.</w:t>
      </w:r>
    </w:p>
    <w:p>
      <w:r>
        <w:rPr>
          <w:color w:val="5A7D3A"/>
          <w:sz w:val="18"/>
        </w:rPr>
        <w:t>https://pubmed.ncbi.nlm.nih.gov/42920001/</w:t>
      </w:r>
    </w:p>
    <w:p>
      <w:pPr>
        <w:pStyle w:val="Heading2"/>
      </w:pPr>
      <w:r>
        <w:t>Erhöhtes BMI führt zu mehr Muskelskelettstörungen bei Landwirten</w:t>
      </w:r>
    </w:p>
    <w:p>
      <w:r>
        <w:rPr>
          <w:i/>
          <w:color w:val="666666"/>
          <w:sz w:val="18"/>
        </w:rPr>
        <w:t>Kaewsanmung S et al.  ·  BMC Public Health  ·  28.07.2026  ·  PMID 42919265</w:t>
      </w:r>
    </w:p>
    <w:p>
      <w:r>
        <w:t>Systematische Übersichtsarbeit von 19 Studien zur Assoziation zwischen BMI und Muskelskelettstörungen (MSDs) bei Landarbeitern mit Fokus auf angepasste Effektschätzer aus Cross-sectional-, Kohorten- und Fall-Kontroll-Studien.</w:t>
      </w:r>
    </w:p>
    <w:p>
      <w:r>
        <w:rPr>
          <w:b/>
        </w:rPr>
        <w:t xml:space="preserve">Ergebnis: </w:t>
      </w:r>
      <w:r>
        <w:t>Die Mehrzahl der Evidenz zeigt, dass erhöhtes BMI mit erhöhtem Risiko für MSDs verbunden ist, besonders im Rücken, Becken und unteren Extremitäten. Zwei Studien identifizierten höheres BMI als protektiven Faktor gegen MSDs im oberen Rücken. NHLBI-Qualitätsitems lagen zwischen 36 % und 78 %.</w:t>
      </w:r>
    </w:p>
    <w:p>
      <w:r>
        <w:rPr>
          <w:b/>
          <w:sz w:val="19"/>
        </w:rPr>
        <w:t xml:space="preserve">Übertragbarkeit: </w:t>
      </w:r>
      <w:r>
        <w:rPr>
          <w:sz w:val="19"/>
        </w:rPr>
        <w:t>Internationale Daten, agrarberufliche Population, Ergebnisse auf deutsche Landwirtschaft übertragbar.</w:t>
      </w:r>
    </w:p>
    <w:p>
      <w:r>
        <w:rPr>
          <w:color w:val="5A7D3A"/>
          <w:sz w:val="18"/>
        </w:rPr>
        <w:t>https://pubmed.ncbi.nlm.nih.gov/42919265/</w:t>
      </w:r>
    </w:p>
    <w:p>
      <w:pPr>
        <w:pStyle w:val="Heading2"/>
      </w:pPr>
      <w:r>
        <w:t>Höheres mütterliches BMI erhöht Oxytocin-Bedarf bei Geburtseinleitung</w:t>
      </w:r>
    </w:p>
    <w:p>
      <w:r>
        <w:rPr>
          <w:i/>
          <w:color w:val="666666"/>
          <w:sz w:val="18"/>
        </w:rPr>
        <w:t>Bladfält N et al.  ·  Am J Obstet Gynecol MFM  ·  07.09.2026  ·  PMID 42705385</w:t>
      </w:r>
    </w:p>
    <w:p>
      <w:r>
        <w:t>Prospektive Kohortenstudie mit 1163 schwangeren Frauen in Schweden, die eine geplante Geburtseinleitung mit Oxytocin erhielten, zur Untersuchung der Assoziation zwischen maternalem BMI und kumulativer Oxytocin-Dosis sowie maximaler Infusionsgeschwindigkeit.</w:t>
      </w:r>
    </w:p>
    <w:p>
      <w:r>
        <w:rPr>
          <w:b/>
        </w:rPr>
        <w:t xml:space="preserve">Ergebnis: </w:t>
      </w:r>
      <w:r>
        <w:t>Die durchschnittliche kumulative Oxytocin-Dosis stieg progressiv über BMI-Kategorien an (Normalgewicht: 6.230 mU, Übergewicht: 7.410 mU, Adipositas Klasse I: 8.698 mU, Adipositas Klasse II-III: 10.128 mU; p &lt; 0,001). Die maximale Infusionsgeschwindigkeit erhöhte sich ebenfalls mit BMI (Normalgewicht: 17,2 mU/min, Adipositas Klasse II-III: 24,1 mU/min; p &lt; 0,001). Höhere BMI-Werte waren unabhängig mit reduzierter Oxytocin-Responsivität und höheren Anforderungen assoziiert.</w:t>
      </w:r>
    </w:p>
    <w:p>
      <w:r>
        <w:rPr>
          <w:b/>
          <w:sz w:val="19"/>
        </w:rPr>
        <w:t xml:space="preserve">Übertragbarkeit: </w:t>
      </w:r>
      <w:r>
        <w:rPr>
          <w:sz w:val="19"/>
        </w:rPr>
        <w:t>Schwedische Bevölkerungsdaten, vergleichbares Sozialversicherungssystem.</w:t>
      </w:r>
    </w:p>
    <w:p>
      <w:r>
        <w:rPr>
          <w:color w:val="5A7D3A"/>
          <w:sz w:val="18"/>
        </w:rPr>
        <w:t>https://pubmed.ncbi.nlm.nih.gov/42705385/</w:t>
      </w:r>
    </w:p>
    <w:p>
      <w:pPr>
        <w:pStyle w:val="Heading2"/>
      </w:pPr>
      <w:r>
        <w:t>Genotyp der Phenylketonurie sagt Adipositas-Risiko im Erwachsenenalter voraus</w:t>
      </w:r>
    </w:p>
    <w:p>
      <w:r>
        <w:rPr>
          <w:i/>
          <w:color w:val="666666"/>
          <w:sz w:val="18"/>
        </w:rPr>
        <w:t>Tummolo A et al.  ·  Genes (Basel)  ·  24.07.2026  ·  PMID 42650054</w:t>
      </w:r>
    </w:p>
    <w:p>
      <w:r>
        <w:t>Retrospektive Kohortenstudie mit 344 Patienten mit Phenylketonurie über mindestens 10 Jahre Nachverfolgung in Süditalien zur Kartierung der PAH-Varianten und deren Assoziation mit klinischen Phänotypen und langfristigem BMI.</w:t>
      </w:r>
    </w:p>
    <w:p>
      <w:r>
        <w:rPr>
          <w:b/>
        </w:rPr>
        <w:t xml:space="preserve">Ergebnis: </w:t>
      </w:r>
      <w:r>
        <w:t>Klassische PKU-Patienten im Erwachsenenalter zeigten ein vierfach erhöhtes Adipositas-Risiko (p &lt; 0,05), getrieben durch schwere Null-Allele, die auf lebenslange Abhängigkeit von Engineering-Lebensmitteln mit niedriger Proteinzufuhr hinweisen. Geografische Stratifizierung der Mutationen spiegelte historische Migrationen wider.</w:t>
      </w:r>
    </w:p>
    <w:p>
      <w:r>
        <w:rPr>
          <w:b/>
          <w:sz w:val="19"/>
        </w:rPr>
        <w:t xml:space="preserve">Übertragbarkeit: </w:t>
      </w:r>
      <w:r>
        <w:rPr>
          <w:sz w:val="19"/>
        </w:rPr>
        <w:t>Süditalien, vergleichbare europäische Versorgungsstruktur für seltene Stoffwechselerkrankungen.</w:t>
      </w:r>
    </w:p>
    <w:p>
      <w:r>
        <w:rPr>
          <w:color w:val="5A7D3A"/>
          <w:sz w:val="18"/>
        </w:rPr>
        <w:t>https://pubmed.ncbi.nlm.nih.gov/42650054/</w:t>
      </w:r>
    </w:p>
    <w:p>
      <w:pPr>
        <w:pStyle w:val="Heading1"/>
      </w:pPr>
      <w:r>
        <w:t>Aufgenommen am 24.10.2026</w:t>
      </w:r>
    </w:p>
    <w:p>
      <w:pPr>
        <w:pStyle w:val="Heading2"/>
      </w:pPr>
      <w:r>
        <w:t>Neuseeländer: Adipositasmedikamente annehmbar, aber Sorgen um Kosten und Langzeitfolgen hemmen Nutzung</w:t>
      </w:r>
    </w:p>
    <w:p>
      <w:r>
        <w:rPr>
          <w:i/>
          <w:color w:val="666666"/>
          <w:sz w:val="18"/>
        </w:rPr>
        <w:t>Taylor T et al.  ·  N Z Med J  ·  23.10.2026  ·  PMID 42912969</w:t>
      </w:r>
    </w:p>
    <w:p>
      <w:r>
        <w:t>Querschnittsumfrage (n=216 Māori und Pacific-Erwachsene, 190 mit Übergewicht/Adipositas) zur Akzeptanz von Adipositasmedikamenten; multivariable logistische Regression und Mediationsanalyse.</w:t>
      </w:r>
    </w:p>
    <w:p>
      <w:r>
        <w:rPr>
          <w:b/>
        </w:rPr>
        <w:t xml:space="preserve">Ergebnis: </w:t>
      </w:r>
      <w:r>
        <w:t>Mehrheit betrachtete Adipositasmedikamente als akzeptabel. Häufige Sorgen: Kosten, Wirksamkeit, nachträgliche Gewichtszunahme, unbekannte Körperauswirkungen, Langzeitabhängigkeit. Verabreichungsweg (oral vs. Injektion) war signifikanter Mediator ethnischer Unterschiede; Pacific-Teilnehmer höheres Bedenken als Māori. Geschlechtsmuster ähnlich, aber begrenzte männliche Teilnehmerzahl.</w:t>
      </w:r>
    </w:p>
    <w:p>
      <w:r>
        <w:rPr>
          <w:b/>
          <w:sz w:val="19"/>
        </w:rPr>
        <w:t xml:space="preserve">Übertragbarkeit: </w:t>
      </w:r>
      <w:r>
        <w:rPr>
          <w:sz w:val="19"/>
        </w:rPr>
        <w:t>Neuseeland; ethnische Unterschiede in Arzneimittel-Akzeptanz, aber Kostenbarriere ist deutsches Problem (§34 SGB V).</w:t>
      </w:r>
    </w:p>
    <w:p>
      <w:r>
        <w:rPr>
          <w:color w:val="5A7D3A"/>
          <w:sz w:val="18"/>
        </w:rPr>
        <w:t>https://pubmed.ncbi.nlm.nih.gov/42912969/</w:t>
      </w:r>
    </w:p>
    <w:p>
      <w:pPr>
        <w:pStyle w:val="Heading2"/>
      </w:pPr>
      <w:r>
        <w:t>Südasia: körperliche Inaktivität und Ernährung sind Hauptfaktoren für Adoleszenten-Adipositas</w:t>
      </w:r>
    </w:p>
    <w:p>
      <w:r>
        <w:rPr>
          <w:i/>
          <w:color w:val="666666"/>
          <w:sz w:val="18"/>
        </w:rPr>
        <w:t>Siddiquee T et al.  ·  Endocrinol Diabetes Metab  ·  Nov. 2026  ·  PMID 42912841</w:t>
      </w:r>
    </w:p>
    <w:p>
      <w:r>
        <w:t>Narrative Übersicht (13 Publikationen, 2015–August 2026) über Prävalenz und Faktoren der Adipositas bei 10–19-Jährigen in Südasia; separate Analyse primärer Studien (n=8) und systematischer Reviews (n=5).</w:t>
      </w:r>
    </w:p>
    <w:p>
      <w:r>
        <w:rPr>
          <w:b/>
        </w:rPr>
        <w:t xml:space="preserve">Ergebnis: </w:t>
      </w:r>
      <w:r>
        <w:t>Regionale Meta-Analysen: 12,4% Übergewicht, 6,6% Adipositas, 19,3% kombiniert. Konsistente Evidenz für körperliche Inaktivität, Sedentarismus und ungesunde Ernährung. Sozioökonomische Position, Urbanisierung, Geschlecht, Familie und Medienexposition zeigten heterogene, kontextabhängige Assoziationen. Schlaf, psychische Gesundheit, Nahrungsunsicherheit und Nachbarschaftsfaktoren waren unzureichend untersucht.</w:t>
      </w:r>
    </w:p>
    <w:p>
      <w:r>
        <w:rPr>
          <w:b/>
          <w:sz w:val="19"/>
        </w:rPr>
        <w:t xml:space="preserve">Übertragbarkeit: </w:t>
      </w:r>
      <w:r>
        <w:rPr>
          <w:sz w:val="19"/>
        </w:rPr>
        <w:t>Südasien; regionale Prävention erfordert lokal angepasste Ansätze, nicht universal übertragbar.</w:t>
      </w:r>
    </w:p>
    <w:p>
      <w:r>
        <w:rPr>
          <w:color w:val="5A7D3A"/>
          <w:sz w:val="18"/>
        </w:rPr>
        <w:t>https://pubmed.ncbi.nlm.nih.gov/42912841/</w:t>
      </w:r>
    </w:p>
    <w:p>
      <w:pPr>
        <w:pStyle w:val="Heading2"/>
      </w:pPr>
      <w:r>
        <w:t>Emotionsregulation in Familientherapie reduziert Gewichtsverlust-Rückgewinn bei Jugendlichen</w:t>
      </w:r>
    </w:p>
    <w:p>
      <w:r>
        <w:rPr>
          <w:i/>
          <w:color w:val="666666"/>
          <w:sz w:val="18"/>
        </w:rPr>
        <w:t>Boutelle KN et al.  ·  JAMA Netw Open  ·  01.10.2026  ·  PMID 42911592</w:t>
      </w:r>
    </w:p>
    <w:p>
      <w:r>
        <w:t>Randomisierte Studie (n=166 Jugendliche, 13-16 Jahre) verglich Familientherapie mit zusätzlichem Emotionsregulations-Training gegen Standardtherapie; primärer Endpunkt war BMI-Änderung über 6 Monate mit 12-Monats-Nachverfolgung.</w:t>
      </w:r>
    </w:p>
    <w:p>
      <w:r>
        <w:rPr>
          <w:b/>
        </w:rPr>
        <w:t xml:space="preserve">Ergebnis: </w:t>
      </w:r>
      <w:r>
        <w:t>Kein signifikanter Unterschied in Gewichtsverlust unter Behandlung (Differenz BMI-z-Score: 0,03). Nach 12 Monaten zeigte die Emotionsgruppe weniger Gewichtszunahme (−0,09 BMI-z-Score), 22% erreichten klinisch signifikante Gewichtsverluste versus 4% in Standardtherapie. Emotionales Essen war in der Emotionsgruppe niedriger.</w:t>
      </w:r>
    </w:p>
    <w:p>
      <w:r>
        <w:rPr>
          <w:b/>
          <w:sz w:val="19"/>
        </w:rPr>
        <w:t xml:space="preserve">Übertragbarkeit: </w:t>
      </w:r>
      <w:r>
        <w:rPr>
          <w:sz w:val="19"/>
        </w:rPr>
        <w:t>USA; Familientherapie-Modell ist mit deutschen ambulanten psychosomatischen Programmen vergleichbar.</w:t>
      </w:r>
    </w:p>
    <w:p>
      <w:r>
        <w:rPr>
          <w:color w:val="5A7D3A"/>
          <w:sz w:val="18"/>
        </w:rPr>
        <w:t>https://pubmed.ncbi.nlm.nih.gov/42911592/</w:t>
      </w:r>
    </w:p>
    <w:p>
      <w:pPr>
        <w:pStyle w:val="Heading2"/>
      </w:pPr>
      <w:r>
        <w:t>Gestationszunahme außerhalb Normbereich erhöht schwere Mütter-Morbidität</w:t>
      </w:r>
    </w:p>
    <w:p>
      <w:r>
        <w:rPr>
          <w:i/>
          <w:color w:val="666666"/>
          <w:sz w:val="18"/>
        </w:rPr>
        <w:t>Khademioore S et al.  ·  JAMA Netw Open  ·  01.10.2026  ·  PMID 42911590</w:t>
      </w:r>
    </w:p>
    <w:p>
      <w:r>
        <w:t>Retrospektive Kohortenstudie (n=1.035.927 Singleton-Schwangerschaften) mit Geburts-Registerdaten (Ontario, Kanada, 2012-2022); Exposition: Gewichtszunahme nach IOM-Kategorien; Outcome: schwere Mütter-Morbidität (SMM).</w:t>
      </w:r>
    </w:p>
    <w:p>
      <w:r>
        <w:rPr>
          <w:b/>
        </w:rPr>
        <w:t xml:space="preserve">Ergebnis: </w:t>
      </w:r>
      <w:r>
        <w:t>SMM trat bei 14,59 pro 1000 Geburten auf. Excessive Gewichtszunahme war über alle BMI-Kategorien mit erhöhter SMM assoziiert (z.B. normal: adjustierte Ratenratio 1,24, 95%-KI 1,17–1,31). Inadäquate Zunahme erhöhte SMM bei Normalgewicht (aRR 1,13) und Übergewicht (aRR 1,19). Nicht-lineare Assoziationen je nach BMI-Kategorie.</w:t>
      </w:r>
    </w:p>
    <w:p>
      <w:r>
        <w:rPr>
          <w:b/>
          <w:sz w:val="19"/>
        </w:rPr>
        <w:t xml:space="preserve">Übertragbarkeit: </w:t>
      </w:r>
      <w:r>
        <w:rPr>
          <w:sz w:val="19"/>
        </w:rPr>
        <w:t>Kanada, vergleichbares Gesundheitssystem; Geburts-Registerdaten übertragbar auf deutsches Setting.</w:t>
      </w:r>
    </w:p>
    <w:p>
      <w:r>
        <w:rPr>
          <w:color w:val="5A7D3A"/>
          <w:sz w:val="18"/>
        </w:rPr>
        <w:t>https://pubmed.ncbi.nlm.nih.gov/42911590/</w:t>
      </w:r>
    </w:p>
    <w:p>
      <w:pPr>
        <w:pStyle w:val="Heading2"/>
      </w:pPr>
      <w:r>
        <w:t>Arbeitsplatz-Lebensstileprogramm senkte metabolisches Syndrom trotz Implementierungs-Hürden</w:t>
      </w:r>
    </w:p>
    <w:p>
      <w:r>
        <w:rPr>
          <w:i/>
          <w:color w:val="666666"/>
          <w:sz w:val="18"/>
        </w:rPr>
        <w:t>Bogale SK et al.  ·  Front Public Health  ·  07.10.2026  ·  PMID 42909154</w:t>
      </w:r>
    </w:p>
    <w:p>
      <w:r>
        <w:t>Mixed-Methods-Evaluation (n=226 Beschäftigte, Cluster-randomisiert) einer 9-Monatigen Arbeitsplatz-Intervention zur Metabolisches-Syndrom-Reduktion in Äthiopien; Implementierungstreue nach Programme Integrity Framework; Kontextfaktoren nach CFIR.</w:t>
      </w:r>
    </w:p>
    <w:p>
      <w:r>
        <w:rPr>
          <w:b/>
        </w:rPr>
        <w:t xml:space="preserve">Ergebnis: </w:t>
      </w:r>
      <w:r>
        <w:t>Hohe Implementierungstreue über Adhärenz, Exposition, Qualität und Teilnehmerresponse. Signifikante Metabolisches-Syndrom-Reduktion und Verhaltensverbesserungen in Interventionsgruppe. Implementierungs-Barrieren: unsupportive Organisationskultur, schwache Führungsunterstützung, begrenzte externe Policy-Rückhalt, Ressourcenmangel, misalignierte Communitynormen. Nachhaltige Skalierung erfordert Task-Sharing und Policy-Integration.</w:t>
      </w:r>
    </w:p>
    <w:p>
      <w:r>
        <w:rPr>
          <w:b/>
          <w:sz w:val="19"/>
        </w:rPr>
        <w:t xml:space="preserve">Übertragbarkeit: </w:t>
      </w:r>
      <w:r>
        <w:rPr>
          <w:sz w:val="19"/>
        </w:rPr>
        <w:t>Äthiopien, Erwerbstätigengruppe; Arbeitsplatz-Modell ist auf deutsche Betriebliche Gesundheitsförderung übertragbar.</w:t>
      </w:r>
    </w:p>
    <w:p>
      <w:r>
        <w:rPr>
          <w:color w:val="5A7D3A"/>
          <w:sz w:val="18"/>
        </w:rPr>
        <w:t>https://pubmed.ncbi.nlm.nih.gov/42909154/</w:t>
      </w:r>
    </w:p>
    <w:p>
      <w:pPr>
        <w:pStyle w:val="Heading2"/>
      </w:pPr>
      <w:r>
        <w:t>Familie und Gemeinschaft verschärfen Stigma und psychische Belastung von übergewichtigen Mädchen</w:t>
      </w:r>
    </w:p>
    <w:p>
      <w:r>
        <w:rPr>
          <w:i/>
          <w:color w:val="666666"/>
          <w:sz w:val="18"/>
        </w:rPr>
        <w:t>Bahathig A et al.  ·  Front Public Health  ·  07.10.2026  ·  PMID 42908972</w:t>
      </w:r>
    </w:p>
    <w:p>
      <w:r>
        <w:t>Qualitative Studie mit 30 weiblichen Jugendlichen (12-19 Jahre, 57% adipös, 43% übergewichtig); halbstrukturierte Interviews zu Familieneinflüssen, Kritik und psychischem Wohlbefinden.</w:t>
      </w:r>
    </w:p>
    <w:p>
      <w:r>
        <w:rPr>
          <w:b/>
        </w:rPr>
        <w:t xml:space="preserve">Ergebnis: </w:t>
      </w:r>
      <w:r>
        <w:t>Vier Themen identifiziert: (1) Essstörungszyklus aus Diäten und Überessen (n=16); (2) Kritik von Familie und Gemeinschaft (n=20); (3) psychologische Folgen wie niedriges Selbstwertgefühl, soziale Isolation (n=25), Sorgen um Kleidung und Ehe (n=22); (4) Bewältigungsstrategien. Negative Kommentare waren demotivierend, positive gesundheitsbezogene waren motivierend.</w:t>
      </w:r>
    </w:p>
    <w:p>
      <w:r>
        <w:rPr>
          <w:b/>
          <w:sz w:val="19"/>
        </w:rPr>
        <w:t xml:space="preserve">Übertragbarkeit: </w:t>
      </w:r>
      <w:r>
        <w:rPr>
          <w:sz w:val="19"/>
        </w:rPr>
        <w:t>Saudi-Arabien; Stigma-Dynamik in traditionellen Gesellschaften, aber psychische Belastung universell relevant.</w:t>
      </w:r>
    </w:p>
    <w:p>
      <w:r>
        <w:rPr>
          <w:color w:val="5A7D3A"/>
          <w:sz w:val="18"/>
        </w:rPr>
        <w:t>https://pubmed.ncbi.nlm.nih.gov/42908972/</w:t>
      </w:r>
    </w:p>
    <w:p>
      <w:pPr>
        <w:pStyle w:val="Heading2"/>
      </w:pPr>
      <w:r>
        <w:t>Fastintherapie senkt Blutdruck dysglykämischer Patienten unabhängig von Gewichtsverlust</w:t>
      </w:r>
    </w:p>
    <w:p>
      <w:r>
        <w:rPr>
          <w:i/>
          <w:color w:val="666666"/>
          <w:sz w:val="18"/>
        </w:rPr>
        <w:t>Ye Z et al.  ·  Front Endocrinol (Lausanne)  ·  07.10.2026  ·  PMID 42908842</w:t>
      </w:r>
    </w:p>
    <w:p>
      <w:r>
        <w:t>Retrospektive Kohortenstudie (n=833 dysglykämische Erwachsene) zu modifiziertem Fasten; Blutdruck, Gewicht und Laborparameter vor/nach Intervention gemessen; lineare mixed models und Mediationsanalyse.</w:t>
      </w:r>
    </w:p>
    <w:p>
      <w:r>
        <w:rPr>
          <w:b/>
        </w:rPr>
        <w:t xml:space="preserve">Ergebnis: </w:t>
      </w:r>
      <w:r>
        <w:t>Fasten senkte systolischen Blutdruck um 7,73 mmHg (95%-KI −8,64 bis −6,82) und diastolischen um 4,76 mmHg (95%-KI −5,39 bis −4,12), beide p&lt;0,001. Gewichtsverlust mediierte nicht signifikant die Blutdruckreduktion (indirekter Effekt SBP: −0,22, p=0,588). Effekt wurde modifiziert durch Alter, Geschlecht und Baseline-HbA1c; größere Reduktionen bei jüngeren, männlichen Patienten und höherem HbA1c.</w:t>
      </w:r>
    </w:p>
    <w:p>
      <w:r>
        <w:rPr>
          <w:b/>
          <w:sz w:val="19"/>
        </w:rPr>
        <w:t xml:space="preserve">Übertragbarkeit: </w:t>
      </w:r>
      <w:r>
        <w:rPr>
          <w:sz w:val="19"/>
        </w:rPr>
        <w:t>China; Fasten-Effekt auf Blutdruck ist mechanistisch unabhängig vom Gewicht, Design auf deutsches Setting anwendbar.</w:t>
      </w:r>
    </w:p>
    <w:p>
      <w:r>
        <w:rPr>
          <w:color w:val="5A7D3A"/>
          <w:sz w:val="18"/>
        </w:rPr>
        <w:t>https://pubmed.ncbi.nlm.nih.gov/42908842/</w:t>
      </w:r>
    </w:p>
    <w:p>
      <w:pPr>
        <w:pStyle w:val="Heading1"/>
      </w:pPr>
      <w:r>
        <w:t>Aufgenommen am 23.10.2026</w:t>
      </w:r>
    </w:p>
    <w:p>
      <w:pPr>
        <w:pStyle w:val="Heading2"/>
      </w:pPr>
      <w:r>
        <w:t>Schulische Adipositasprävention in China: Verbesserte nur 26,6 % der übergewichtigen Kinder</w:t>
      </w:r>
    </w:p>
    <w:p>
      <w:r>
        <w:rPr>
          <w:i/>
          <w:color w:val="666666"/>
          <w:sz w:val="18"/>
        </w:rPr>
        <w:t>Chen JF et al.  ·  Zhonghua Liu Xing Bing Xue Za Zhi  ·  10.10.2026  ·  PMID 42907187</w:t>
      </w:r>
    </w:p>
    <w:p>
      <w:r>
        <w:t>Longitudinale Kohortenstudie bei 91.538 Grundschülern zum Verlauf der Übergewichtsquote unter bestehenden Präventionsmaßnahmen in städtischen und ländlichen Schulen (2022–2024).</w:t>
      </w:r>
    </w:p>
    <w:p>
      <w:r>
        <w:rPr>
          <w:b/>
        </w:rPr>
        <w:t xml:space="preserve">Ergebnis: </w:t>
      </w:r>
      <w:r>
        <w:t>Übergewichtsquote und Adipositasquote 2024: 14,59 % bzw. 14,34 % (beide gestiegen gegenüber 2022, p&lt;0,001). Von den übergewichtigen Kindern wurden nur 26,56 % normal gewichtig, nur 2,66 % der adipösen. Neue Fälle: 8,62 % Übergewicht, 1,08 % Adipositas. Landkinder hatten 1,25-faches Übergewicht- und 1,34-faches Adipositasrisiko vs. Stadt.</w:t>
      </w:r>
    </w:p>
    <w:p>
      <w:r>
        <w:rPr>
          <w:b/>
          <w:sz w:val="19"/>
        </w:rPr>
        <w:t xml:space="preserve">Übertragbarkeit: </w:t>
      </w:r>
      <w:r>
        <w:rPr>
          <w:sz w:val="19"/>
        </w:rPr>
        <w:t>China – zeigt, dass bestehende Schulprogramme unwirksam sind</w:t>
      </w:r>
    </w:p>
    <w:p>
      <w:r>
        <w:rPr>
          <w:color w:val="5A7D3A"/>
          <w:sz w:val="18"/>
        </w:rPr>
        <w:t>https://pubmed.ncbi.nlm.nih.gov/42907187/</w:t>
      </w:r>
    </w:p>
    <w:p>
      <w:pPr>
        <w:pStyle w:val="Heading2"/>
      </w:pPr>
      <w:r>
        <w:t>Spaniens Adipositäsprävention: Nationale Umsetzung mit messbarem Erfolg</w:t>
      </w:r>
    </w:p>
    <w:p>
      <w:r>
        <w:rPr>
          <w:i/>
          <w:color w:val="666666"/>
          <w:sz w:val="18"/>
        </w:rPr>
        <w:t>Montes D et al.  ·  Rev Esp Salud Publica  ·  21.10.2026  ·  PMID 42904533</w:t>
      </w:r>
    </w:p>
    <w:p>
      <w:r>
        <w:t>Analyse der Umsetzung des WHO-Aktionsplans zur Adipositasbekämpfung in Spanien mit Fokus auf Governance, Koordination und Messbarkeit von Outcomes.</w:t>
      </w:r>
    </w:p>
    <w:p>
      <w:r>
        <w:rPr>
          <w:b/>
        </w:rPr>
        <w:t xml:space="preserve">Ergebnis: </w:t>
      </w:r>
      <w:r>
        <w:t>Der ALADINO-Studie zufolge sank der Anteil übergewichtiger Kinder (6–9 Jahre) zwischen 2019 und 2023 um 4,5 Prozentpunkte. Die Gesamtstrategie Spaniens mit Multisektoral-Governance und jährlichen Ministerkonferenzen ermöglichte es, internationale Ziele messbarer zu operationalisieren, deckte aber weiterhin erhebliche sozioökonomische Ungleichgewichte auf.</w:t>
      </w:r>
    </w:p>
    <w:p>
      <w:r>
        <w:rPr>
          <w:b/>
          <w:sz w:val="19"/>
        </w:rPr>
        <w:t xml:space="preserve">Übertragbarkeit: </w:t>
      </w:r>
      <w:r>
        <w:rPr>
          <w:sz w:val="19"/>
        </w:rPr>
        <w:t>Spanien, vergleichbarer Wohlfahrtsstaat und Sozialversicherungssystem</w:t>
      </w:r>
    </w:p>
    <w:p>
      <w:r>
        <w:rPr>
          <w:color w:val="5A7D3A"/>
          <w:sz w:val="18"/>
        </w:rPr>
        <w:t>https://pubmed.ncbi.nlm.nih.gov/42904533/</w:t>
      </w:r>
    </w:p>
    <w:p>
      <w:pPr>
        <w:pStyle w:val="Heading2"/>
      </w:pPr>
      <w:r>
        <w:t>Bewegungsverordnung in der Primärversorgung: Spaniens Strukturansatz für Kinder</w:t>
      </w:r>
    </w:p>
    <w:p>
      <w:r>
        <w:rPr>
          <w:i/>
          <w:color w:val="666666"/>
          <w:sz w:val="18"/>
        </w:rPr>
        <w:t>Giménez Alba IM et al.  ·  Rev Esp Salud Publica  ·  23.09.2026  ·  PMID 42904447</w:t>
      </w:r>
    </w:p>
    <w:p>
      <w:r>
        <w:t>Systematische Analyse von Spaniens Aktivitätsverschreibungs- und Gesundheitsvermittlungsprogrammen in der Primärversorgung mit Fokus auf Umsetzungsbarrieren und Chancen.</w:t>
      </w:r>
    </w:p>
    <w:p>
      <w:r>
        <w:rPr>
          <w:b/>
        </w:rPr>
        <w:t xml:space="preserve">Ergebnis: </w:t>
      </w:r>
      <w:r>
        <w:t>16 der 17 autonomen Gemeinschaften führen Ernährungsberatung durch; 13 verschreiben oder empfehlen Aktivität. Nur 35,3 % haben Zugang zu Ernährungsfachkräften (davon nur 3 in der Primärversorgung). Trotz politischer Fortschritte bleibt die Umsetzung fragmentiert, besonders bei der Sicherstellung equitativer Ressourcenverteilung.</w:t>
      </w:r>
    </w:p>
    <w:p>
      <w:r>
        <w:rPr>
          <w:b/>
          <w:sz w:val="19"/>
        </w:rPr>
        <w:t xml:space="preserve">Übertragbarkeit: </w:t>
      </w:r>
      <w:r>
        <w:rPr>
          <w:sz w:val="19"/>
        </w:rPr>
        <w:t>Spanien, DACH-Vergleichbarkeit bei tertiärer Prävention</w:t>
      </w:r>
    </w:p>
    <w:p>
      <w:r>
        <w:rPr>
          <w:color w:val="5A7D3A"/>
          <w:sz w:val="18"/>
        </w:rPr>
        <w:t>https://pubmed.ncbi.nlm.nih.gov/42904447/</w:t>
      </w:r>
    </w:p>
    <w:p>
      <w:pPr>
        <w:pStyle w:val="Heading2"/>
      </w:pPr>
      <w:r>
        <w:t>Kindervorsorge im Vergleich: Heterogene Standards bei Adipositaserfassung</w:t>
      </w:r>
    </w:p>
    <w:p>
      <w:r>
        <w:rPr>
          <w:i/>
          <w:color w:val="666666"/>
          <w:sz w:val="18"/>
        </w:rPr>
        <w:t>Cabrera-León A et al.  ·  Rev Esp Salud Publica  ·  25.09.2026  ·  PMID 42904443</w:t>
      </w:r>
    </w:p>
    <w:p>
      <w:r>
        <w:t>Querschnittserhebung zu Umsetzung und Dokumentation von Adipositásindikatoren in 17 spanischen Kindervorsorgeprogrammen der Primärversorgung.</w:t>
      </w:r>
    </w:p>
    <w:p>
      <w:r>
        <w:rPr>
          <w:b/>
        </w:rPr>
        <w:t xml:space="preserve">Ergebnis: </w:t>
      </w:r>
      <w:r>
        <w:t>94,1 % der Gemeinschaften haben ein Programm; alle erfassen Gewicht und Länge elektronisch. Blutdruck wird nur in 58,8 %, Taillenumfang in 41,2 % gemessen. Sozioökonomische Determinanten dokumentieren nur 41,2 %, ein formales Protokoll nutzen nur 11,8 %. Es gibt kein gemeinsames Mindestdatensatz-Standard.</w:t>
      </w:r>
    </w:p>
    <w:p>
      <w:r>
        <w:rPr>
          <w:b/>
          <w:sz w:val="19"/>
        </w:rPr>
        <w:t xml:space="preserve">Übertragbarkeit: </w:t>
      </w:r>
      <w:r>
        <w:rPr>
          <w:sz w:val="19"/>
        </w:rPr>
        <w:t>Spanien, zeigt Datenqualitätsgap europäischer Gesundheitssysteme</w:t>
      </w:r>
    </w:p>
    <w:p>
      <w:r>
        <w:rPr>
          <w:color w:val="5A7D3A"/>
          <w:sz w:val="18"/>
        </w:rPr>
        <w:t>https://pubmed.ncbi.nlm.nih.gov/42904443/</w:t>
      </w:r>
    </w:p>
    <w:p>
      <w:pPr>
        <w:pStyle w:val="Heading2"/>
      </w:pPr>
      <w:r>
        <w:t>ALADINO 2023: Kinderadipositáts-Surveillance mit Repräsentativität</w:t>
      </w:r>
    </w:p>
    <w:p>
      <w:r>
        <w:rPr>
          <w:i/>
          <w:color w:val="666666"/>
          <w:sz w:val="18"/>
        </w:rPr>
        <w:t>Recuero Carretero C et al.  ·  Rev Esp Salud Publica  ·  19.10.2026  ·  PMID 42904441</w:t>
      </w:r>
    </w:p>
    <w:p>
      <w:r>
        <w:t>Methodische Beschreibung einer nationalen spanischen Querschnittstudie zur Adipositásprävalenz bei 6–9-jährigen Schulkindern (n=12.678) im Rahmen der WHO-COSI-Initiative.</w:t>
      </w:r>
    </w:p>
    <w:p>
      <w:r>
        <w:rPr>
          <w:b/>
        </w:rPr>
        <w:t xml:space="preserve">Ergebnis: </w:t>
      </w:r>
      <w:r>
        <w:t>Erfassung anthropometrischer Daten und umfangreicher Lebensstil- sowie Soziodemografien bei direkter Messung in 296 Schulen. Die Studie bildet nationale und internationale Vergleichbarkeit ab und generiert hochwertige Daten mit Repräsentativität für die Ebenen national und international.</w:t>
      </w:r>
    </w:p>
    <w:p>
      <w:r>
        <w:rPr>
          <w:b/>
          <w:sz w:val="19"/>
        </w:rPr>
        <w:t xml:space="preserve">Übertragbarkeit: </w:t>
      </w:r>
      <w:r>
        <w:rPr>
          <w:sz w:val="19"/>
        </w:rPr>
        <w:t>Spanien, Referenzmethode für europäische Surveillance</w:t>
      </w:r>
    </w:p>
    <w:p>
      <w:r>
        <w:rPr>
          <w:color w:val="5A7D3A"/>
          <w:sz w:val="18"/>
        </w:rPr>
        <w:t>https://pubmed.ncbi.nlm.nih.gov/42904441/</w:t>
      </w:r>
    </w:p>
    <w:p>
      <w:pPr>
        <w:pStyle w:val="Heading2"/>
      </w:pPr>
      <w:r>
        <w:t>Multipla Therapie bei HFpEF: GLP-1 bringt mehr Gewichtsverlust als Kaloriendefizit allein</w:t>
      </w:r>
    </w:p>
    <w:p>
      <w:r>
        <w:rPr>
          <w:i/>
          <w:color w:val="666666"/>
          <w:sz w:val="18"/>
        </w:rPr>
        <w:t>Prokopidis K et al.  ·  Curr Heart Fail Rep  ·  08.10.2026  ·  PMID 42848257</w:t>
      </w:r>
    </w:p>
    <w:p>
      <w:r>
        <w:t>Narrative Übersicht zu Lebensstil-, pharmakologischen und chirurgischen Interventionen zur Verbesserung von Muskelkraft, Körperkomposition und Funktionsfähigkeit bei HFpEF mit Sarkopenie und/oder Adipositas.</w:t>
      </w:r>
    </w:p>
    <w:p>
      <w:r>
        <w:rPr>
          <w:b/>
        </w:rPr>
        <w:t xml:space="preserve">Ergebnis: </w:t>
      </w:r>
      <w:r>
        <w:t>Konkurrentes Ausdauer- und Krafttraining verbessert aerobe Kapazität, Funktionsleistung und Lebensqualität. GLP-1-Arzneimittel führen zu größerem Gewichtsverlust und funktionellen Verbesserungen als SGLT2i allein. Kombination aus Widerstandstraining und adäquater Proteinzufuhr konserviert Muskelmasse während Gewichtsverlust besser als Kalorienrestriktion.</w:t>
      </w:r>
    </w:p>
    <w:p>
      <w:r>
        <w:rPr>
          <w:b/>
          <w:sz w:val="19"/>
        </w:rPr>
        <w:t xml:space="preserve">Übertragbarkeit: </w:t>
      </w:r>
      <w:r>
        <w:rPr>
          <w:sz w:val="19"/>
        </w:rPr>
        <w:t>Deutschsprachige Autoren, UK, Skandinavien – Outcomes jenseits der Waage</w:t>
      </w:r>
    </w:p>
    <w:p>
      <w:r>
        <w:rPr>
          <w:color w:val="5A7D3A"/>
          <w:sz w:val="18"/>
        </w:rPr>
        <w:t>https://pubmed.ncbi.nlm.nih.gov/42848257/</w:t>
      </w:r>
    </w:p>
    <w:p>
      <w:pPr>
        <w:pStyle w:val="Heading1"/>
      </w:pPr>
      <w:r>
        <w:t>Aufgenommen am 22.10.2026</w:t>
      </w:r>
    </w:p>
    <w:p>
      <w:pPr>
        <w:pStyle w:val="Heading2"/>
      </w:pPr>
      <w:r>
        <w:t>PCOS und Metabolisches Syndrom: Prävalenz 81,4% statt 30% bei Kontrollen, LAP-Score sensitivste Marke</w:t>
      </w:r>
    </w:p>
    <w:p>
      <w:r>
        <w:rPr>
          <w:i/>
          <w:color w:val="666666"/>
          <w:sz w:val="18"/>
        </w:rPr>
        <w:t>Baidya S et al.  ·  BMC Womens Health  ·  25.07.2026  ·  PMID 42902247</w:t>
      </w:r>
    </w:p>
    <w:p>
      <w:r>
        <w:t>Querschnittstudie 70 PCOS- und 60 Kontrollpatientinnen zur Bestimmung atherogenisierender Lipidindizes und Metabolisches-Syndrom-Prävalenz mittels Labor- und anthropometrischen Messungen.</w:t>
      </w:r>
    </w:p>
    <w:p>
      <w:r>
        <w:rPr>
          <w:b/>
        </w:rPr>
        <w:t xml:space="preserve">Ergebnis: </w:t>
      </w:r>
      <w:r>
        <w:t>PCOS-Gruppe versus Kontrollen: höhere atherogenisierende Lipidindizes (CRI-I, CRI-II, AIP, AC, LCI, LAP). Metabolisches-Syndrom-Prävalenz PCOS 81,4% (n=57) versus Kontrollen 30% (n=18). LAP-Score effizientester Indikator für Metabolisches Syndrom bei PCOS mit AUC 0,829 (p&lt;0,001), Sensitivität 80%, Spezifität 94,5%.</w:t>
      </w:r>
    </w:p>
    <w:p>
      <w:r>
        <w:rPr>
          <w:b/>
          <w:sz w:val="19"/>
        </w:rPr>
        <w:t xml:space="preserve">Übertragbarkeit: </w:t>
      </w:r>
      <w:r>
        <w:rPr>
          <w:sz w:val="19"/>
        </w:rPr>
        <w:t>Nepal, aber PCOS-Adipositas-Metabolismus weltweit vergleichbar; LAP-Score als Screening-Tool auf DACH-Ebene prüfenswert.</w:t>
      </w:r>
    </w:p>
    <w:p>
      <w:r>
        <w:rPr>
          <w:color w:val="5A7D3A"/>
          <w:sz w:val="18"/>
        </w:rPr>
        <w:t>https://pubmed.ncbi.nlm.nih.gov/42902247/</w:t>
      </w:r>
    </w:p>
    <w:p>
      <w:pPr>
        <w:pStyle w:val="Heading2"/>
      </w:pPr>
      <w:r>
        <w:t>Viszerale Adipositas erhöht Kardiometabolisches Risiko auch bei Normalgewicht</w:t>
      </w:r>
    </w:p>
    <w:p>
      <w:r>
        <w:rPr>
          <w:i/>
          <w:color w:val="666666"/>
          <w:sz w:val="18"/>
        </w:rPr>
        <w:t>Cheng Y et al.  ·  BMC Cardiovasc Disord  ·  24.07.2026  ·  PMID 42902148</w:t>
      </w:r>
    </w:p>
    <w:p>
      <w:r>
        <w:t>Longitudinale Kohortenstudie mit 5.606 Erwachsenen (Normalgewicht, BMI 18–24) aus Gesundheitschecks in China; Follow-up 1,98 Jahre auf Kardiometabolische Ereignisse stratifiziert nach viszeraler Fettverteilung.</w:t>
      </w:r>
    </w:p>
    <w:p>
      <w:r>
        <w:rPr>
          <w:b/>
        </w:rPr>
        <w:t xml:space="preserve">Ergebnis: </w:t>
      </w:r>
      <w:r>
        <w:t>Normalgewicht mit zentraler Adipositas (viszerale Fettansammlung) zeigte erhöhtes Risiko für kardiometabolische Störungen: Hazard Ratio 1,39 (95%-KI 1,13–1,71) gegenüber Normalgewicht ohne zentrale Adipositas. Ähnliche Risikoerhöhungen für Hypertonie, Diabetes und Hyperlipidämie. Abdominalfettverteilung ist auch bei normaler BMI ein Risikofaktor.</w:t>
      </w:r>
    </w:p>
    <w:p>
      <w:r>
        <w:rPr>
          <w:b/>
          <w:sz w:val="19"/>
        </w:rPr>
        <w:t xml:space="preserve">Übertragbarkeit: </w:t>
      </w:r>
      <w:r>
        <w:rPr>
          <w:sz w:val="19"/>
        </w:rPr>
        <w:t>China, ambulante Routineuntersuchungen; gilt für Gesundheitssysteme mit Prävention durch Leistungserbringer wie Deutschland.</w:t>
      </w:r>
    </w:p>
    <w:p>
      <w:r>
        <w:rPr>
          <w:color w:val="5A7D3A"/>
          <w:sz w:val="18"/>
        </w:rPr>
        <w:t>https://pubmed.ncbi.nlm.nih.gov/42902148/</w:t>
      </w:r>
    </w:p>
    <w:p>
      <w:pPr>
        <w:pStyle w:val="Heading2"/>
      </w:pPr>
      <w:r>
        <w:t>GLP-1 und plastische Chirurgie: Perioperatives Timing und Muskelverlust erfordern multidisziplinäres Protokoll</w:t>
      </w:r>
    </w:p>
    <w:p>
      <w:r>
        <w:rPr>
          <w:i/>
          <w:color w:val="666666"/>
          <w:sz w:val="18"/>
        </w:rPr>
        <w:t>Chaturvedi R et al.  ·  Front Endocrinol (Lausanne)  ·  05.10.2026  ·  PMID 42898660</w:t>
      </w:r>
    </w:p>
    <w:p>
      <w:r>
        <w:t>Narrative Übersicht über GLP-1-Rezeptoragonisten und Dualagonisten im Kontext ästhetisch-plastischer Eingriffe; Fokus auf perioperative Sicherheit, Körperzusammensetzung, Magerkörpermasse-Verlust und Wiederzunahme nach Absetzen.</w:t>
      </w:r>
    </w:p>
    <w:p>
      <w:r>
        <w:rPr>
          <w:b/>
        </w:rPr>
        <w:t xml:space="preserve">Ergebnis: </w:t>
      </w:r>
      <w:r>
        <w:t>GLP-1 RAs führen zu zweistelligen prozentualen Gewichtsverlusten, erweitern chirurgische Operabilität, erzeugen aber neue Hauterschlaffung und Volumenverlust; verzögerte Magenmotorik mit Aspirationsrisiko, Magen-Darm-Nebenwirkungen bei Dosiseskalation, Magerkörpermasse-Verlust und Malnutrition bei supprimiertem Appetit, häufige Wiederzunahme nach Absetzen gefährden chirurgische Haltbarkeit. Empfehlung: multidisziplinärer Algorithmus (Endokrinologe–Chirurg–Anästhesist) zur risikogesteuerten Operationstiming und Ernährungsoptimierung.</w:t>
      </w:r>
    </w:p>
    <w:p>
      <w:r>
        <w:rPr>
          <w:b/>
          <w:sz w:val="19"/>
        </w:rPr>
        <w:t xml:space="preserve">Übertragbarkeit: </w:t>
      </w:r>
      <w:r>
        <w:rPr>
          <w:sz w:val="19"/>
        </w:rPr>
        <w:t>Indien, aber GLP-1-Versorgung in Deutschland nach §34 SGB V ausgeschlossen; Protokoll nur bei privat bezahlten Patienten relevant.</w:t>
      </w:r>
    </w:p>
    <w:p>
      <w:r>
        <w:rPr>
          <w:color w:val="5A7D3A"/>
          <w:sz w:val="18"/>
        </w:rPr>
        <w:t>https://pubmed.ncbi.nlm.nih.gov/42898660/</w:t>
      </w:r>
    </w:p>
    <w:p>
      <w:pPr>
        <w:pStyle w:val="Heading2"/>
      </w:pPr>
      <w:r>
        <w:t>Phytodiab bei Typ-2-Diabetes und Metabolischem Syndrom: Gewicht und HbA1c sanken über 12 Wochen</w:t>
      </w:r>
    </w:p>
    <w:p>
      <w:r>
        <w:rPr>
          <w:i/>
          <w:color w:val="666666"/>
          <w:sz w:val="18"/>
        </w:rPr>
        <w:t>Belcaro G et al.  ·  Panminerva Med  ·  Sept. 2026  ·  PMID 42895045</w:t>
      </w:r>
    </w:p>
    <w:p>
      <w:r>
        <w:t>12-Wochen-Beobachtungsregistry bei 60 Erwachsenen mit leicht-mäßigem Typ-2-Diabetes, Übergewicht, ohne Komplikationen und ohne Pharmakotherapie; Vergleich Phytodiab-Extrakt (n=30) plus Lebensstilmaßnahmen versus Lebensstilmaßnahmen allein (n=30).</w:t>
      </w:r>
    </w:p>
    <w:p>
      <w:r>
        <w:rPr>
          <w:b/>
        </w:rPr>
        <w:t xml:space="preserve">Ergebnis: </w:t>
      </w:r>
      <w:r>
        <w:t>Phytodiab plus Lebensstilmaßnahmen gegenüber alleinigen Maßnahmen (p&lt;0,05): Gewichtsreduktion, Fettmassereduktion, Nüchternglukose, HbA1c und oxidativer Stress alle signifikant reduziert. Hohe Compliance (96%), keine Toleranzprobleme, Routinelaborparameter normal. Vorläufige Befunde für weitere kontrollierte Studien in größeren Populationen.</w:t>
      </w:r>
    </w:p>
    <w:p>
      <w:r>
        <w:rPr>
          <w:b/>
          <w:sz w:val="19"/>
        </w:rPr>
        <w:t xml:space="preserve">Übertragbarkeit: </w:t>
      </w:r>
      <w:r>
        <w:rPr>
          <w:sz w:val="19"/>
        </w:rPr>
        <w:t>Italien, offenes Design; Phytopharmaka-Effekte regional variabel; Übertragbarkeit begrenzt auf deutschsprachige Naturprodukt-regulierung.</w:t>
      </w:r>
    </w:p>
    <w:p>
      <w:r>
        <w:rPr>
          <w:color w:val="5A7D3A"/>
          <w:sz w:val="18"/>
        </w:rPr>
        <w:t>https://pubmed.ncbi.nlm.nih.gov/42895045/</w:t>
      </w:r>
    </w:p>
    <w:p>
      <w:pPr>
        <w:pStyle w:val="Heading2"/>
      </w:pPr>
      <w:r>
        <w:t>Esketamin-Anästhesie bei Adipositaschirurgie: weniger Schmerz, bessere Psyche</w:t>
      </w:r>
    </w:p>
    <w:p>
      <w:r>
        <w:rPr>
          <w:i/>
          <w:color w:val="666666"/>
          <w:sz w:val="18"/>
        </w:rPr>
        <w:t>Huang C et al.  ·  Transl Psychiatry  ·  23.07.2026  ·  PMID 42893989</w:t>
      </w:r>
    </w:p>
    <w:p>
      <w:r>
        <w:t>Randomisierte Doppelblind-Studie (n=84, 88,1% Follow-up nach 3 Monaten) zur Esketamin-basierten opioidfreien Anästhesie versus Remifentanil bei laparoskopischer Sleeve-Gastrektomie, primäre Endpunkte postoperativer Schmerz (24 h) und psychische Gesundheit (3 Monate).</w:t>
      </w:r>
    </w:p>
    <w:p>
      <w:r>
        <w:rPr>
          <w:b/>
        </w:rPr>
        <w:t xml:space="preserve">Ergebnis: </w:t>
      </w:r>
      <w:r>
        <w:t>Esketamin-Gruppe: signifikant niedrigere postoperative Schmerzintensität (p&lt;0,01), reduzierte moderate-schwere Schmerzfälle (p&lt;0,05) in den ersten 24 h. Nach 3 Monaten bessere psychische Gesundheitsergebnisse; Nebenwirkungsrate nicht erhöht. Metaboliten zeigten therapeutische Kinetik. Esketamin verbesserte parallel physische und psychische Erholung nach Adipositaschirurgie.</w:t>
      </w:r>
    </w:p>
    <w:p>
      <w:r>
        <w:rPr>
          <w:b/>
          <w:sz w:val="19"/>
        </w:rPr>
        <w:t xml:space="preserve">Übertragbarkeit: </w:t>
      </w:r>
      <w:r>
        <w:rPr>
          <w:sz w:val="19"/>
        </w:rPr>
        <w:t>China, aber opioidfreie Strategien sind Versorgungsstandard in Europa; Psyche-Outcome-Fokus auf DACH-Ebene relevant.</w:t>
      </w:r>
    </w:p>
    <w:p>
      <w:r>
        <w:rPr>
          <w:color w:val="5A7D3A"/>
          <w:sz w:val="18"/>
        </w:rPr>
        <w:t>https://pubmed.ncbi.nlm.nih.gov/42893989/</w:t>
      </w:r>
    </w:p>
    <w:p>
      <w:pPr>
        <w:pStyle w:val="Heading2"/>
      </w:pPr>
      <w:r>
        <w:t>CagriSema gegen Semaglutid: 6,9 % zusätzlicher Gewichtsverlust, höhere Injektionsreaktionen</w:t>
      </w:r>
    </w:p>
    <w:p>
      <w:r>
        <w:rPr>
          <w:i/>
          <w:color w:val="666666"/>
          <w:sz w:val="18"/>
        </w:rPr>
        <w:t>Rasool ZK et al.  ·  Front Endocrinol (Lausanne)  ·  02.10.2026  ·  PMID 42890523</w:t>
      </w:r>
    </w:p>
    <w:p>
      <w:r>
        <w:t>Systematische Übersicht und Metaanalyse von 5 RCTs (n=4.746) zur Doppelwirkstoff-Fixkombination CagriSema (Cagrilintid+Semaglutid) versus Semaglutid 2,4 mg Monotherapie bei Übergewicht/Adipositas mit und ohne Typ-2-Diabetes.</w:t>
      </w:r>
    </w:p>
    <w:p>
      <w:r>
        <w:rPr>
          <w:b/>
        </w:rPr>
        <w:t xml:space="preserve">Ergebnis: </w:t>
      </w:r>
      <w:r>
        <w:t>CagriSema versus Semaglutid 2,4 mg: mittlere Differenz Gewichtsverlust -6,89 Prozentpunkte (95%-KI -8,70 bis -5,06), absolute Reduktion -7,16 kg (95%-KI -9,15 bis -5,17), BMI-Reduktion -2,41 kg/m² (95%-KI -2,83 bis -1,99). Verdoppelte Wahrscheinlichkeit 20%-Gewichtsverlust (RR 2,10). Injektionsreaktionen 3,14× häufiger (95%-KI 1,42–6,96). Gastrointestinale Nebenwirkungen nicht signifikant erhöht. Kein zusätzlicher glykämischer Nutzen.</w:t>
      </w:r>
    </w:p>
    <w:p>
      <w:r>
        <w:rPr>
          <w:b/>
          <w:sz w:val="19"/>
        </w:rPr>
        <w:t xml:space="preserve">Übertragbarkeit: </w:t>
      </w:r>
      <w:r>
        <w:rPr>
          <w:sz w:val="19"/>
        </w:rPr>
        <w:t>USA und Internationales; Erstattung in Deutschland für GLP-1 RA ausgeschlossen nach §34 SGB V, Kombinationspräparate ebenfalls nicht erstattet.</w:t>
      </w:r>
    </w:p>
    <w:p>
      <w:r>
        <w:rPr>
          <w:color w:val="5A7D3A"/>
          <w:sz w:val="18"/>
        </w:rPr>
        <w:t>https://pubmed.ncbi.nlm.nih.gov/42890523/</w:t>
      </w:r>
    </w:p>
    <w:p>
      <w:pPr>
        <w:pStyle w:val="Heading2"/>
      </w:pPr>
      <w:r>
        <w:t>Adipositas senkt Beschäftigungsquote: Mendelsche Randomisierung zeigt kausalen Effekt</w:t>
      </w:r>
    </w:p>
    <w:p>
      <w:r>
        <w:rPr>
          <w:i/>
          <w:color w:val="666666"/>
          <w:sz w:val="18"/>
        </w:rPr>
        <w:t>Katz A  ·  Soc Sci Med  ·  04.09.2026  ·  PMID 42828830</w:t>
      </w:r>
    </w:p>
    <w:p>
      <w:r>
        <w:t>Mendelsche Randomisierung mit genetischem Risikoscore für BMI in UK-Biobank-Daten zur Analyse des kausalen Effekts von Adipositas auf Beschäftigungschancen, differenziert nach Geschlecht und sozioökonomischen Faktoren.</w:t>
      </w:r>
    </w:p>
    <w:p>
      <w:r>
        <w:rPr>
          <w:b/>
        </w:rPr>
        <w:t xml:space="preserve">Ergebnis: </w:t>
      </w:r>
      <w:r>
        <w:t>Adipositas hatte einen signifikant negativen kausalen Effekt auf Beschäftigung über alle Analysemethoden hinweg. Frauen zeigten in linearen Modellen stärkere Beschäftigungseinbußen, während Person-Centered-Treatment-Effects-Analysen ein gegensätzliches Muster offenbarten. Die Befunde unterstreichen die wirtschaftliche Krankheitslast von Adipositas jenseits der medizinischen Dimension.</w:t>
      </w:r>
    </w:p>
    <w:p>
      <w:r>
        <w:rPr>
          <w:b/>
          <w:sz w:val="19"/>
        </w:rPr>
        <w:t xml:space="preserve">Übertragbarkeit: </w:t>
      </w:r>
      <w:r>
        <w:rPr>
          <w:sz w:val="19"/>
        </w:rPr>
        <w:t>UK Biobank mit genetischen und Erwerbsdaten; Übertragbarkeit auf DACH-Länder hoch bei vergleichbarer Arbeitsmärkte.</w:t>
      </w:r>
    </w:p>
    <w:p>
      <w:r>
        <w:rPr>
          <w:color w:val="5A7D3A"/>
          <w:sz w:val="18"/>
        </w:rPr>
        <w:t>https://pubmed.ncbi.nlm.nih.gov/42828830/</w:t>
      </w:r>
    </w:p>
    <w:p>
      <w:pPr>
        <w:pStyle w:val="Heading1"/>
      </w:pPr>
      <w:r>
        <w:t>Aufgenommen am 21.10.2026</w:t>
      </w:r>
    </w:p>
    <w:p>
      <w:pPr>
        <w:pStyle w:val="Heading2"/>
      </w:pPr>
      <w:r>
        <w:t>Semaglutide in chilenischem Gesundheitssystem: HbA1c von 8,6 auf 7 %, 31 % sparten Insulindosen</w:t>
      </w:r>
    </w:p>
    <w:p>
      <w:r>
        <w:rPr>
          <w:i/>
          <w:color w:val="666666"/>
          <w:sz w:val="18"/>
        </w:rPr>
        <w:t>Estica M et al.  ·  Rev Med Chil  ·  Aug. 2026  ·  PMID 42899606</w:t>
      </w:r>
    </w:p>
    <w:p>
      <w:r>
        <w:t>Chilenische Phase-IV-Multicenterstudie an 104 Patienten mit Typ-2-Diabetes (79,8 % Frauen, 44,2 % über 60 Jahre) zur Wirksamkeit und Sicherheit von wöchentlichem Semaglutid 0,5 oder 1 mg über 24 Wochen in der öffentlichen Gesundheitsversorgung.</w:t>
      </w:r>
    </w:p>
    <w:p>
      <w:r>
        <w:rPr>
          <w:b/>
        </w:rPr>
        <w:t xml:space="preserve">Ergebnis: </w:t>
      </w:r>
      <w:r>
        <w:t>HbA1c sank von 8,6 ± 0,7 % auf 7,0 ± 1,0 % (Differenz -1,6 %), Nüchternglukose von 160,3 ± 49,3 auf 133,7 ± 54,8 mg/dL (Differenz -26,2 mg/dL), Körpergewicht von 89,3 ± 20,2 auf 85,3 ± 20,4 kg (Differenz -4 kg). 56,4 % erreichten HbA1c &lt; 7 % (vs. 0 % zu Studienbeginn). 31 % der mit Basalinsulin behandelten Patienten reduzieren Insulindosen (Median -6 IE). Gastrointestinale Nebenwirkungen entsprechend bekanntem Sicherheitsprofil.</w:t>
      </w:r>
    </w:p>
    <w:p>
      <w:r>
        <w:rPr>
          <w:b/>
          <w:sz w:val="19"/>
        </w:rPr>
        <w:t xml:space="preserve">Übertragbarkeit: </w:t>
      </w:r>
      <w:r>
        <w:rPr>
          <w:sz w:val="19"/>
        </w:rPr>
        <w:t>Lateinamerika, aber öffentliches Versicherungssystem, erste Realdaten aus Nicht-USA-Gesundheitssystem</w:t>
      </w:r>
    </w:p>
    <w:p>
      <w:r>
        <w:rPr>
          <w:color w:val="5A7D3A"/>
          <w:sz w:val="18"/>
        </w:rPr>
        <w:t>https://pubmed.ncbi.nlm.nih.gov/42899606/</w:t>
      </w:r>
    </w:p>
    <w:p>
      <w:pPr>
        <w:pStyle w:val="Heading2"/>
      </w:pPr>
      <w:r>
        <w:t>Bildung, nicht Einkommen, ist stärkster Adipositas-Prädiktor im Lebensverlauf</w:t>
      </w:r>
    </w:p>
    <w:p>
      <w:r>
        <w:rPr>
          <w:i/>
          <w:color w:val="666666"/>
          <w:sz w:val="18"/>
        </w:rPr>
        <w:t>Issayeva Z et al.  ·  Int J Popul Data Sci  ·  29.09.2026  ·  PMID 42899118</w:t>
      </w:r>
    </w:p>
    <w:p>
      <w:r>
        <w:t>Südkoreanische Querschnittstudie an 12.075 Erwachsenen (KNHANES 2022–2024) zur Assoziation von Sozioökonomischem Status (Bildung, Einkommen, Erwerbsstatus) mit Adipositas (BMI ≥ 25 kg/m²) mittels Lebenszyklusrahmen.</w:t>
      </w:r>
    </w:p>
    <w:p>
      <w:r>
        <w:rPr>
          <w:b/>
        </w:rPr>
        <w:t xml:space="preserve">Ergebnis: </w:t>
      </w:r>
      <w:r>
        <w:t>Niedrigere Schulbildung war der konsistenteste Prädiktor für Adipositas; Einkommen und Erwerbsstatus zeigten nach Adjustierung heterogenere Assoziationen. Die Befunde stützen die Lebensverlauf-Perspektive, wonach kumulative sozioökonomische Bedingungen und strukturelle Zwänge das Adipositas-Risiko prägen.</w:t>
      </w:r>
    </w:p>
    <w:p>
      <w:r>
        <w:rPr>
          <w:b/>
          <w:sz w:val="19"/>
        </w:rPr>
        <w:t xml:space="preserve">Übertragbarkeit: </w:t>
      </w:r>
      <w:r>
        <w:rPr>
          <w:sz w:val="19"/>
        </w:rPr>
        <w:t>Asienische Vergleichspopulation, aber robuste Methodik mit nationalen Populationsdaten, Erkenntnisse zu Ungleichheit übertragbar</w:t>
      </w:r>
    </w:p>
    <w:p>
      <w:r>
        <w:rPr>
          <w:color w:val="5A7D3A"/>
          <w:sz w:val="18"/>
        </w:rPr>
        <w:t>https://pubmed.ncbi.nlm.nih.gov/42899118/</w:t>
      </w:r>
    </w:p>
    <w:p>
      <w:pPr>
        <w:pStyle w:val="Heading2"/>
      </w:pPr>
      <w:r>
        <w:t>Herzfettkörper und Entzündungsmarker bei Typ-2-Diabetes: Woran Komplikationen hängen</w:t>
      </w:r>
    </w:p>
    <w:p>
      <w:r>
        <w:rPr>
          <w:i/>
          <w:color w:val="666666"/>
          <w:sz w:val="18"/>
        </w:rPr>
        <w:t>Jensen MS et al.  ·  Cardiovasc Diabetol  ·  23.07.2026  ·  PMID 42897624</w:t>
      </w:r>
    </w:p>
    <w:p>
      <w:r>
        <w:t>Dänische Querschnittstudie an 887 Personen mit Typ-2-Diabetes ohne klinische Herzkrankheit zur Assoziation von perikardialem Fettvolumen mit koronarer Verkalkung, myokardialer Mikrozirkulation und systemischer Entzündung (hsCRP).</w:t>
      </w:r>
    </w:p>
    <w:p>
      <w:r>
        <w:rPr>
          <w:b/>
        </w:rPr>
        <w:t xml:space="preserve">Ergebnis: </w:t>
      </w:r>
      <w:r>
        <w:t>Perikardiales Fettvolumen war nach Adjustierung für kardiovaskuläre Risikofaktoren nicht unabhängig mit koronarer Verkalkung oder Mikrozirkulationsstörung assoziiert, aber mit 14 % höherem hsCRP pro 100 mL Mehrvolumen (95 % CI 4–25 %; p = 0,005). Damit zeigt sich eine Assoziation mit systemischer Entzündung, nicht aber mit strukturellen Koronarveränderungen.</w:t>
      </w:r>
    </w:p>
    <w:p>
      <w:r>
        <w:rPr>
          <w:b/>
          <w:sz w:val="19"/>
        </w:rPr>
        <w:t xml:space="preserve">Übertragbarkeit: </w:t>
      </w:r>
      <w:r>
        <w:rPr>
          <w:sz w:val="19"/>
        </w:rPr>
        <w:t>Dänische Klinikkohorte, europäisches Versicherungssystem, vergleichbare Diabetes-Versorgung</w:t>
      </w:r>
    </w:p>
    <w:p>
      <w:r>
        <w:rPr>
          <w:color w:val="5A7D3A"/>
          <w:sz w:val="18"/>
        </w:rPr>
        <w:t>https://pubmed.ncbi.nlm.nih.gov/42897624/</w:t>
      </w:r>
    </w:p>
    <w:p>
      <w:pPr>
        <w:pStyle w:val="Heading2"/>
      </w:pPr>
      <w:r>
        <w:t>Adipositas bei Inselteenagern 2023: 37,6 % übergewichtig oder adipös – und wenig Vorsorge</w:t>
      </w:r>
    </w:p>
    <w:p>
      <w:r>
        <w:rPr>
          <w:i/>
          <w:color w:val="666666"/>
          <w:sz w:val="18"/>
        </w:rPr>
        <w:t>Bay JL et al.  ·  BMC Public Health  ·  24.07.2026  ·  PMID 42897504</w:t>
      </w:r>
    </w:p>
    <w:p>
      <w:r>
        <w:t>Mehrjährige Querschnittstudie der Cook Islands an Schülern der 9. Klasse (2016–2019, 2022–2023; n = 783) zur Prävalenz von Stoffwechsel-Risikofaktoren und metabolischem Syndrom bei Jugendlichen (Medianalter 13,8 Jahre).</w:t>
      </w:r>
    </w:p>
    <w:p>
      <w:r>
        <w:rPr>
          <w:b/>
        </w:rPr>
        <w:t xml:space="preserve">Ergebnis: </w:t>
      </w:r>
      <w:r>
        <w:t>Prävalenzen: 22,1 % Übergewicht, 37,6 % Adipositas, 39,1 % erhöhtes Waist-to-Height-Ratio (&gt;0,5), 9,4 % hoher Blutdruck, 8,1 % erhöhtes Gesamtcholesterin, 37,1 % erhöhte Nüchternglukose. Bei verfügbaren Vollmessungen (n = 261) hatten 27,6 % der adipösen Kinder ≥2 Risikofaktoren. Starke Korrelationen zwischen BMI-for-Age und Waist-to-Height-Ratio (χ² p &lt; 0,001).</w:t>
      </w:r>
    </w:p>
    <w:p>
      <w:r>
        <w:rPr>
          <w:b/>
          <w:sz w:val="19"/>
        </w:rPr>
        <w:t xml:space="preserve">Übertragbarkeit: </w:t>
      </w:r>
      <w:r>
        <w:rPr>
          <w:sz w:val="19"/>
        </w:rPr>
        <w:t>Pazifisches Inselland, kleine Population, aber epidemiologisch extrem relevant für frühe Prävention</w:t>
      </w:r>
    </w:p>
    <w:p>
      <w:r>
        <w:rPr>
          <w:color w:val="5A7D3A"/>
          <w:sz w:val="18"/>
        </w:rPr>
        <w:t>https://pubmed.ncbi.nlm.nih.gov/42897504/</w:t>
      </w:r>
    </w:p>
    <w:p>
      <w:pPr>
        <w:pStyle w:val="Heading2"/>
      </w:pPr>
      <w:r>
        <w:t>Muskelschwäche plus Bauchfett senkt Lebensqualität bei Brustkrebs um messbare Grade</w:t>
      </w:r>
    </w:p>
    <w:p>
      <w:r>
        <w:rPr>
          <w:i/>
          <w:color w:val="666666"/>
          <w:sz w:val="18"/>
        </w:rPr>
        <w:t>Anunciação TAD et al.  ·  J Obes  ·  2026  ·  PMID 42891917</w:t>
      </w:r>
    </w:p>
    <w:p>
      <w:r>
        <w:t>Brasilianische Querschnittsstudie an 97 übergewichtigen oder adipösen Frauen vor elektiver Brust-Operation zur Assoziation von dynapenier Bauchfettsucht (BMI ≥ 30, Taillenumfang ≥ 88 cm, Handgriffstärke vermindert) mit Lebensqualität gemessen per FACT-B- und TOI-Skalen.</w:t>
      </w:r>
    </w:p>
    <w:p>
      <w:r>
        <w:rPr>
          <w:b/>
        </w:rPr>
        <w:t xml:space="preserve">Ergebnis: </w:t>
      </w:r>
      <w:r>
        <w:t>Dyanpäne Bauchfettsucht war unabhängig mit signifikant niedrigeren Lebensqualitäts-Scores assoziiert, auch nach Adjustierung für Alter, Einkommen, Bildung und körperliche Aktivität. Frauen mit niedriger Bildung, unregelmäßiger Aktivität, niedrigerem Einkommen und schwerer Adipositas zeigten verschlechterte FACT-B-, FACT-G- und Trial-Outcome-Index-Scores (alle p &lt; 0,05).</w:t>
      </w:r>
    </w:p>
    <w:p>
      <w:r>
        <w:rPr>
          <w:b/>
          <w:sz w:val="19"/>
        </w:rPr>
        <w:t xml:space="preserve">Übertragbarkeit: </w:t>
      </w:r>
      <w:r>
        <w:rPr>
          <w:sz w:val="19"/>
        </w:rPr>
        <w:t>Brasilien, aber Symptom-Messung per validiertem internationalen Instrument, Evidenz für Patientenprioritäten</w:t>
      </w:r>
    </w:p>
    <w:p>
      <w:r>
        <w:rPr>
          <w:color w:val="5A7D3A"/>
          <w:sz w:val="18"/>
        </w:rPr>
        <w:t>https://pubmed.ncbi.nlm.nih.gov/42891917/</w:t>
      </w:r>
    </w:p>
    <w:p>
      <w:pPr>
        <w:pStyle w:val="Heading2"/>
      </w:pPr>
      <w:r>
        <w:t>Metabolisches Syndrom in der Frühschwangerschaft verschärft Blutdruckveränderungen</w:t>
      </w:r>
    </w:p>
    <w:p>
      <w:r>
        <w:rPr>
          <w:i/>
          <w:color w:val="666666"/>
          <w:sz w:val="18"/>
        </w:rPr>
        <w:t>Mohebi A et al.  ·  Endocrine  ·  17.10.2026  ·  PMID 42891873</w:t>
      </w:r>
    </w:p>
    <w:p>
      <w:r>
        <w:t>Australische Studie an 264 Schwangeren vor 16 Wochen zur Prävalenz von metabolischem Syndrom (MetS) und dessen hämodynamischen Auswirkungen in sozioökonomisch belasteten Populationen.</w:t>
      </w:r>
    </w:p>
    <w:p>
      <w:r>
        <w:rPr>
          <w:b/>
        </w:rPr>
        <w:t xml:space="preserve">Ergebnis: </w:t>
      </w:r>
      <w:r>
        <w:t>MetS-Prävalenz: 15,1 %. Frauen mit MetS hatten signifikant höheren zentralen systolischen Blutdruck (cSBP), zentrale mittlere arterielle Drücke (cMAP) und Pulsrate. Nach Adjustierung für BMI und Mehrfachtestung blieben cSBP, cMAP und Pulsrate unabhängig mit MetS assoziiert (alle p &lt; 0,05). Adipositas trug zu diesen Veränderungen bei.</w:t>
      </w:r>
    </w:p>
    <w:p>
      <w:r>
        <w:rPr>
          <w:b/>
          <w:sz w:val="19"/>
        </w:rPr>
        <w:t xml:space="preserve">Übertragbarkeit: </w:t>
      </w:r>
      <w:r>
        <w:rPr>
          <w:sz w:val="19"/>
        </w:rPr>
        <w:t>Australien, aber internationale Geburtskohorte, systemische Evidenz für frühe Erkennung kardiometabolischer Risiken</w:t>
      </w:r>
    </w:p>
    <w:p>
      <w:r>
        <w:rPr>
          <w:color w:val="5A7D3A"/>
          <w:sz w:val="18"/>
        </w:rPr>
        <w:t>https://pubmed.ncbi.nlm.nih.gov/42891873/</w:t>
      </w:r>
    </w:p>
    <w:p>
      <w:pPr>
        <w:pStyle w:val="Heading1"/>
      </w:pPr>
      <w:r>
        <w:t>Aufgenommen am 20.10.2026</w:t>
      </w:r>
    </w:p>
    <w:p>
      <w:pPr>
        <w:pStyle w:val="Heading2"/>
      </w:pPr>
      <w:r>
        <w:t>Übergewicht und Adipositas bei Kindern erhöhen Ausgaben um 4–7 %</w:t>
      </w:r>
    </w:p>
    <w:p>
      <w:r>
        <w:rPr>
          <w:i/>
          <w:color w:val="666666"/>
          <w:sz w:val="18"/>
        </w:rPr>
        <w:t>Valdés N et al.  ·  J Glob Health  ·  19.10.2026  ·  PMID 42895256</w:t>
      </w:r>
    </w:p>
    <w:p>
      <w:r>
        <w:t>Analyse von 652.297 chilenischen Schulkindern mit Verknüpfung von Messdaten und Gesundheitsausgabenregistern zur Abschätzung jährlicher Mehrkosten.</w:t>
      </w:r>
    </w:p>
    <w:p>
      <w:r>
        <w:rPr>
          <w:b/>
        </w:rPr>
        <w:t xml:space="preserve">Ergebnis: </w:t>
      </w:r>
      <w:r>
        <w:t>Hohes BMI-für-Alter war mit 4,2–4,5 % höheren jährlichen Ausgaben assoziiert (justierte Modelle); Übergewicht allein mit 2,5 %, Adipositas mit 6,1–6,6 %. Ausgabenunterschiede waren bereits in früher Kindheit vorhanden.</w:t>
      </w:r>
    </w:p>
    <w:p>
      <w:r>
        <w:rPr>
          <w:b/>
          <w:sz w:val="19"/>
        </w:rPr>
        <w:t xml:space="preserve">Übertragbarkeit: </w:t>
      </w:r>
      <w:r>
        <w:rPr>
          <w:sz w:val="19"/>
        </w:rPr>
        <w:t>Südamerika, öffentlich-privates Versicherungssystem; Methode aber auf Deutschland übertragbar.</w:t>
      </w:r>
    </w:p>
    <w:p>
      <w:r>
        <w:rPr>
          <w:color w:val="5A7D3A"/>
          <w:sz w:val="18"/>
        </w:rPr>
        <w:t>https://pubmed.ncbi.nlm.nih.gov/42895256/</w:t>
      </w:r>
    </w:p>
    <w:p>
      <w:pPr>
        <w:pStyle w:val="Heading2"/>
      </w:pPr>
      <w:r>
        <w:t>GLP-1-Agonisten: gastrointestinale Symptome bei über 50 % nach 5 Jahren</w:t>
      </w:r>
    </w:p>
    <w:p>
      <w:r>
        <w:rPr>
          <w:i/>
          <w:color w:val="666666"/>
          <w:sz w:val="18"/>
        </w:rPr>
        <w:t>Cisneros JZ et al.  ·  Neurogastroenterol Motil  ·  Okt. 2026  ·  PMID 42894471</w:t>
      </w:r>
    </w:p>
    <w:p>
      <w:r>
        <w:t>Retrospektive Kohortenstudie an 78.277 Patienten unter GLP-1-Rezeptoragonisten mit Nachverfolgung über 60 Monate zur Häufigkeit gastrointestinaler Symptome (Übelkeit, Bauchschmerz, Diarrhö, Obstipation).</w:t>
      </w:r>
    </w:p>
    <w:p>
      <w:r>
        <w:rPr>
          <w:b/>
        </w:rPr>
        <w:t xml:space="preserve">Ergebnis: </w:t>
      </w:r>
      <w:r>
        <w:t>Bei 53 % trat mindestens ein gastrointestinales Symptomereignis auf; am häufigsten Bauchschmerz (28 %) und Übelkeit (25 %). Frauen hatten 1,4-fach höheres Risiko als Männer. Baseline-Symptome, weibliches Geschlecht und Metoclopramid erhöhten das Risiko (HR 1,6–2,2).</w:t>
      </w:r>
    </w:p>
    <w:p>
      <w:r>
        <w:rPr>
          <w:b/>
          <w:sz w:val="19"/>
        </w:rPr>
        <w:t xml:space="preserve">Übertragbarkeit: </w:t>
      </w:r>
      <w:r>
        <w:rPr>
          <w:sz w:val="19"/>
        </w:rPr>
        <w:t>USA, aber Nebenwirkungsprofil medikamentsspezifisch und nicht an Versicherungssystem gebunden.</w:t>
      </w:r>
    </w:p>
    <w:p>
      <w:r>
        <w:rPr>
          <w:color w:val="5A7D3A"/>
          <w:sz w:val="18"/>
        </w:rPr>
        <w:t>https://pubmed.ncbi.nlm.nih.gov/42894471/</w:t>
      </w:r>
    </w:p>
    <w:p>
      <w:pPr>
        <w:pStyle w:val="Heading2"/>
      </w:pPr>
      <w:r>
        <w:t>Präkonzeptionelle Lebensstiländerungen: Nutzen bei Übergewicht vor Schwangerschaft</w:t>
      </w:r>
    </w:p>
    <w:p>
      <w:r>
        <w:rPr>
          <w:i/>
          <w:color w:val="666666"/>
          <w:sz w:val="18"/>
        </w:rPr>
        <w:t>Mateusz S et al.  ·  Arch Gynecol Obstet  ·  22.07.2026  ·  PMID 42894025</w:t>
      </w:r>
    </w:p>
    <w:p>
      <w:r>
        <w:t>Strukturierte Übersichtsarbeit (13 Studien, 2019–2023) zu Outcomes nach konservativen Interventionen (Ernährung, Bewegung, Gewichtsverlust) vor Schwangerschaft.</w:t>
      </w:r>
    </w:p>
    <w:p>
      <w:r>
        <w:rPr>
          <w:b/>
        </w:rPr>
        <w:t xml:space="preserve">Ergebnis: </w:t>
      </w:r>
      <w:r>
        <w:t>Gewichtsverlust zeigte ausgewählte Fertilitätsgewinne und Reduktion rezidivierender Gestationsdiabetes; Effekte heterogen je nach Intervention und Gewichtsabnahme. Langzeitnutzen erforderte Verhaltenserhalt.</w:t>
      </w:r>
    </w:p>
    <w:p>
      <w:r>
        <w:rPr>
          <w:b/>
          <w:sz w:val="19"/>
        </w:rPr>
        <w:t xml:space="preserve">Übertragbarkeit: </w:t>
      </w:r>
      <w:r>
        <w:rPr>
          <w:sz w:val="19"/>
        </w:rPr>
        <w:t>Überwiegend außereuropäische Studien, aber Frage zur Vorbeugung ist systemunabhängig.</w:t>
      </w:r>
    </w:p>
    <w:p>
      <w:r>
        <w:rPr>
          <w:color w:val="5A7D3A"/>
          <w:sz w:val="18"/>
        </w:rPr>
        <w:t>https://pubmed.ncbi.nlm.nih.gov/42894025/</w:t>
      </w:r>
    </w:p>
    <w:p>
      <w:pPr>
        <w:pStyle w:val="Heading2"/>
      </w:pPr>
      <w:r>
        <w:t>Zuckerhaltige Getränke erhöhen abdominalem Adipositas um 20 % bei Kindern</w:t>
      </w:r>
    </w:p>
    <w:p>
      <w:r>
        <w:rPr>
          <w:i/>
          <w:color w:val="666666"/>
          <w:sz w:val="18"/>
        </w:rPr>
        <w:t>Yang Y et al.  ·  Zhonghua Yu Fang Yi Xue Za Zhi  ·  06.10.2026  ·  PMID 42893908</w:t>
      </w:r>
    </w:p>
    <w:p>
      <w:r>
        <w:t>Querschnittsstudie an 11.646 Schulkindern mit Beverages-Konsummuster-Analyse (Hauptkomponentenanalyse) und Assoziationen mit allgemeiner und abdominaler Adipositas.</w:t>
      </w:r>
    </w:p>
    <w:p>
      <w:r>
        <w:rPr>
          <w:b/>
        </w:rPr>
        <w:t xml:space="preserve">Ergebnis: </w:t>
      </w:r>
      <w:r>
        <w:t>Zuckerhaltiges Getränkemuster versus Milch-/Fruchtsaft: erhöhte OR für Gesamtadipsitas 1,154, abdominale Adipositas 1,195, Koexistenz beider 1,175 (alle p&lt;0,05 nach Benjamini-Hochberg-Korrektur). Assoziationen stärker bei Adoleszenten, Jungen und Stadtbewohnern.</w:t>
      </w:r>
    </w:p>
    <w:p>
      <w:r>
        <w:rPr>
          <w:b/>
          <w:sz w:val="19"/>
        </w:rPr>
        <w:t xml:space="preserve">Übertragbarkeit: </w:t>
      </w:r>
      <w:r>
        <w:rPr>
          <w:sz w:val="19"/>
        </w:rPr>
        <w:t>China; beverage-spezifisch aber auf Deutschland übertragbar (Prävention).</w:t>
      </w:r>
    </w:p>
    <w:p>
      <w:r>
        <w:rPr>
          <w:color w:val="5A7D3A"/>
          <w:sz w:val="18"/>
        </w:rPr>
        <w:t>https://pubmed.ncbi.nlm.nih.gov/42893908/</w:t>
      </w:r>
    </w:p>
    <w:p>
      <w:pPr>
        <w:pStyle w:val="Heading2"/>
      </w:pPr>
      <w:r>
        <w:t>Schwere Adipositas: körperliche Funktionsfähigkeit und Lebensqualität deutlich vermindert</w:t>
      </w:r>
    </w:p>
    <w:p>
      <w:r>
        <w:rPr>
          <w:i/>
          <w:color w:val="666666"/>
          <w:sz w:val="18"/>
        </w:rPr>
        <w:t>Macedo TSG et al.  ·  J Obes  ·  2026  ·  PMID 42891656</w:t>
      </w:r>
    </w:p>
    <w:p>
      <w:r>
        <w:t>Metaanalyse von 20 Querschnittsstudien zu Lebensqualität (hauptsächlich SF-36) bei Erwachsenen mit BMI ≥40 kg/m².</w:t>
      </w:r>
    </w:p>
    <w:p>
      <w:r>
        <w:rPr>
          <w:b/>
        </w:rPr>
        <w:t xml:space="preserve">Ergebnis: </w:t>
      </w:r>
      <w:r>
        <w:t>Erwachsene mit schwerer Adipositas zeigten konsistent niedrigere Scores in körperlichen Bereichen (physische Funktionsfähigkeit, Schmerz, allgemeine Gesundheit); in psychischen Bereichen Vitalität besonders reduziert. Hohe Heterogenität zwischen Studien.</w:t>
      </w:r>
    </w:p>
    <w:p>
      <w:r>
        <w:rPr>
          <w:b/>
          <w:sz w:val="19"/>
        </w:rPr>
        <w:t xml:space="preserve">Übertragbarkeit: </w:t>
      </w:r>
      <w:r>
        <w:rPr>
          <w:sz w:val="19"/>
        </w:rPr>
        <w:t>Internationale Studien, aber Erhebungsinstrumente (SF-36) kulturübergreifend validiert.</w:t>
      </w:r>
    </w:p>
    <w:p>
      <w:r>
        <w:rPr>
          <w:color w:val="5A7D3A"/>
          <w:sz w:val="18"/>
        </w:rPr>
        <w:t>https://pubmed.ncbi.nlm.nih.gov/42891656/</w:t>
      </w:r>
    </w:p>
    <w:p>
      <w:pPr>
        <w:pStyle w:val="Heading2"/>
      </w:pPr>
      <w:r>
        <w:t>Semaglutid zeigt tumorhemmende Effekte bei Phäochromozytom-Cluster-1, aber Tumor-Förderung bei MEN2</w:t>
      </w:r>
    </w:p>
    <w:p>
      <w:r>
        <w:rPr>
          <w:i/>
          <w:color w:val="666666"/>
          <w:sz w:val="18"/>
        </w:rPr>
        <w:t>Wang K et al.  ·  Endocr Relat Cancer  ·  01.10.2026  ·  PMID 42847129</w:t>
      </w:r>
    </w:p>
    <w:p>
      <w:r>
        <w:t>Funktionale Studien an 54 patienteneigenen Phäochromozytom/Paragangliom-Primärkulturen sowie klinische Korrelation bei 67 Patienten aus prospektiver Studie (PROSPHEO) zu Effekten von Semaglutid, Metformin und Insulin.</w:t>
      </w:r>
    </w:p>
    <w:p>
      <w:r>
        <w:rPr>
          <w:b/>
        </w:rPr>
        <w:t xml:space="preserve">Ergebnis: </w:t>
      </w:r>
      <w:r>
        <w:t>Cluster-abhängig: Semaglutid zeigte signifikante Tumorhemmung bei Cluster-1-Tumoren, aber tumorförderliche Effekte in drei Tumoren mit keimbahnmutiertem RET (MEN2-Syndrom). Metformin zeigte Tumorhemmung, Insulin tumorförderliche Effekte. Klinisch: größere Mediantumore unter Insulin als unter Metformin/GLP-1RA.</w:t>
      </w:r>
    </w:p>
    <w:p>
      <w:r>
        <w:rPr>
          <w:b/>
          <w:sz w:val="19"/>
        </w:rPr>
        <w:t xml:space="preserve">Übertragbarkeit: </w:t>
      </w:r>
      <w:r>
        <w:rPr>
          <w:sz w:val="19"/>
        </w:rPr>
        <w:t>Deutschland und Schweiz; Befund warnt vor unkritischem Einsatz bei MEN2-Patienten.</w:t>
      </w:r>
    </w:p>
    <w:p>
      <w:r>
        <w:rPr>
          <w:color w:val="5A7D3A"/>
          <w:sz w:val="18"/>
        </w:rPr>
        <w:t>https://pubmed.ncbi.nlm.nih.gov/42847129/</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