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09.10.2026  |  6 Studien  |  adipositas.m-vf.de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Adipositasversorgung in der Primärmedizin: Finanzierungs- und Zeitbarrieren hemmen Prävention</w:t>
      </w:r>
    </w:p>
    <w:p>
      <w:r>
        <w:rPr>
          <w:i/>
          <w:color w:val="666666"/>
          <w:sz w:val="18"/>
        </w:rPr>
        <w:t>South TL et al.  ·  Aust J Gen Pract  ·  Okt. 2026  ·  PMID 42849427</w:t>
      </w:r>
    </w:p>
    <w:p>
      <w:r>
        <w:t>Nationale Online-Umfrage von 943 australischen Allgemeinmedizinern November 2023–Februar 2024 zu Engagement, Strategien, Barrieren und Befähigern in der Adipositasversorgung sowie Schulungsbedarf.</w:t>
      </w:r>
    </w:p>
    <w:p>
      <w:r>
        <w:rPr>
          <w:b/>
        </w:rPr>
        <w:t xml:space="preserve">Ergebnis: </w:t>
      </w:r>
      <w:r>
        <w:t>55,7 % der Hausärzte sprechen häufig über Gewicht, 91,6 % geben Ernährungs- und Lebensstilratschläge, aber nur 12,7 % haben formale Adipositas-Schulung. Hauptbarrieren: unzureichende Medicare-Vergütung (MBS) für Konsultationen, unerschwingliche Adipositaspharmakotherapie, mangelnde MBS-Pläne zur chronischen Krankheitsbehandlung, konkurrierende Prioritäten und Zeitmangel. Befähiger: erhöhte MBS-Finanzierung, PBS-Zugang zu Adipositasmedikamenten, bessere Klinikanbindung,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hat ähnliches Versicherungssystem, aber andere Leistungskataloge; Barrieren-Befunde teilweise auf Deutschland übertragbar.</w:t>
      </w:r>
    </w:p>
    <w:p>
      <w:r>
        <w:rPr>
          <w:color w:val="5A7D3A"/>
          <w:sz w:val="18"/>
        </w:rPr>
        <w:t>https://pubmed.ncbi.nlm.nih.gov/42849427/</w:t>
      </w:r>
    </w:p>
    <w:p>
      <w:pPr>
        <w:pStyle w:val="Heading2"/>
      </w:pPr>
      <w:r>
        <w:t>Ländliches Wellness-Programm verringerte Taillenumfang um 0,19 Zoll und diastolischen Druck um 3,38 mmHg</w:t>
      </w:r>
    </w:p>
    <w:p>
      <w:r>
        <w:rPr>
          <w:i/>
          <w:color w:val="666666"/>
          <w:sz w:val="18"/>
        </w:rPr>
        <w:t>Baus A et al.  ·  J Prim Care Community Health  ·  08.10.2026  ·  PMID 42849056</w:t>
      </w:r>
    </w:p>
    <w:p>
      <w:r>
        <w:t>Retrospektive Evaluierung von 585 aktiven Teilnehmern eines krankenhausgestützten Wellness-Programms (Prescription for Your Health, P4YH) in ländlichem West-Virginia mit Messung kardiometabolischer Parameter in Paardaten-Analysen.</w:t>
      </w:r>
    </w:p>
    <w:p>
      <w:r>
        <w:rPr>
          <w:b/>
        </w:rPr>
        <w:t xml:space="preserve">Ergebnis: </w:t>
      </w:r>
      <w:r>
        <w:t>Taillenumfang sank um 0,19 Zoll (95%-KI –0,34 bis –0,03; p=0,0174), diastolischer Blutdruck um 3,38 mmHg (95%-KI –4,54 bis –2,21; p&lt;0,0001). Bei Diabetikern mit gepaarten HbA1c-Messungen (n=56) sank HbA1c um 0,25 Prozentpunkte (95%-KI –0,44 bis –0,06; p=0,0106), bei initialen HbA1c ≥7,0 % um 0,65 Prozentpunkte (95%-KI –1,00 bis –0,29; p=0,0010). Andere kardiometabolische Outcomes änderten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anderer Versicherungsfinanzierung, aber Programm-Modell für strukturierte Nachsorge in Primärversorgung ist übertragbar.</w:t>
      </w:r>
    </w:p>
    <w:p>
      <w:r>
        <w:rPr>
          <w:color w:val="5A7D3A"/>
          <w:sz w:val="18"/>
        </w:rPr>
        <w:t>https://pubmed.ncbi.nlm.nih.gov/42849056/</w:t>
      </w:r>
    </w:p>
    <w:p>
      <w:pPr>
        <w:pStyle w:val="Heading2"/>
      </w:pPr>
      <w:r>
        <w:t>Kinderübergewicht in Spanien: 15 Jahre Überwachung durch COSI und ALADINO-Studie</w:t>
      </w:r>
    </w:p>
    <w:p>
      <w:r>
        <w:rPr>
          <w:i/>
          <w:color w:val="666666"/>
          <w:sz w:val="18"/>
        </w:rPr>
        <w:t>Giménez Alba IM et al.  ·  Rev Esp Salud Publica  ·  05.10.2026  ·  PMID 42847331</w:t>
      </w:r>
    </w:p>
    <w:p>
      <w:r>
        <w:t>Analyse der Prävalenz von Übergewicht und Adipositas bei 6–9-jährigen Kindern in Spanien über 15 Jahre mit standardisierten anthropometrischen Methoden im Rahmen der WHO-Surveillance Initiative COSI.</w:t>
      </w:r>
    </w:p>
    <w:p>
      <w:r>
        <w:rPr>
          <w:b/>
        </w:rPr>
        <w:t xml:space="preserve">Ergebnis: </w:t>
      </w:r>
      <w:r>
        <w:t>In der letzten Runde (2022–2023) mit 12.684 Kindern betrug die Übergewichtsprävalenz 33,6 % im Alter 6 Jahre und 40,5 % im Alter 9 Jahre, Adipositas 14,1 % bzw. 18,8 %. Trotz eines der größten Rückgänge zwischen Runde 5 und 6 zählt Spanien weiterhin zu den Ländern mit höchsten Prävalenzraten in der Region. Strukturierte Prävention durch intersektorale Politik mit Bewegungsförderung zeigt Fortschritte.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Standardisierung und nationale Repräsentativität ermöglichen Übertragung auf deutschsprachigen Raum.</w:t>
      </w:r>
    </w:p>
    <w:p>
      <w:r>
        <w:rPr>
          <w:color w:val="5A7D3A"/>
          <w:sz w:val="18"/>
        </w:rPr>
        <w:t>https://pubmed.ncbi.nlm.nih.gov/42847331/</w:t>
      </w:r>
    </w:p>
    <w:p>
      <w:pPr>
        <w:pStyle w:val="Heading2"/>
      </w:pPr>
      <w:r>
        <w:t>Adipositas bei Nierenleiden: Chirurgische Komplikationen höher, Langzeitüberleben gleich</w:t>
      </w:r>
    </w:p>
    <w:p>
      <w:r>
        <w:rPr>
          <w:i/>
          <w:color w:val="666666"/>
          <w:sz w:val="18"/>
        </w:rPr>
        <w:t>Melera E et al.  ·  Clin Transplant  ·  Okt. 2026  ·  PMID 42839226</w:t>
      </w:r>
    </w:p>
    <w:p>
      <w:r>
        <w:t>Retrospektive Kohortenstudie von 953 erwachsenen Nieren-Transplantierten (150 adipös, BMI ≥30 kg/m²) in der Schweiz von 1999–2023 mit Nachverfolgung chirurgischer und funktioneller Ergebnisse.</w:t>
      </w:r>
    </w:p>
    <w:p>
      <w:r>
        <w:rPr>
          <w:b/>
        </w:rPr>
        <w:t xml:space="preserve">Ergebnis: </w:t>
      </w:r>
      <w:r>
        <w:t>Adipöse Empfänger zeigten erhöhte Raten für chirurgische Infektionen (11 % vs. 3 %, p&lt;0,001), Lymphozelen (18 % vs. 10 %, p=0,007), Inkarzeral-Hernien (10 % vs. 5 %, p=0,032), längerer Krankenhausaufenthalt (19 vs. 17 Tage, p=0,038) und verzögerter Transplantatfunktion (21 % vs. 14 %, p=0,024). Patienten- und transplantatüberleben nach 7,3 Jahren Medianfolge unterschieden sich nicht signifikant. Adipositas sollte keine Kontraindikation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Versicherungssystem mit vergleichbarer Einzelfallgenehmigung für Organtransplantation; direkt auf DACH übertragbar.</w:t>
      </w:r>
    </w:p>
    <w:p>
      <w:r>
        <w:rPr>
          <w:color w:val="5A7D3A"/>
          <w:sz w:val="18"/>
        </w:rPr>
        <w:t>https://pubmed.ncbi.nlm.nih.gov/42839226/</w:t>
      </w:r>
    </w:p>
    <w:p>
      <w:pPr>
        <w:pStyle w:val="Heading2"/>
      </w:pPr>
      <w:r>
        <w:t>Mini-Magenbyppass bei schwerer Adipositas: Remission von Diabetes in 84 %</w:t>
      </w:r>
    </w:p>
    <w:p>
      <w:r>
        <w:rPr>
          <w:i/>
          <w:color w:val="666666"/>
          <w:sz w:val="18"/>
        </w:rPr>
        <w:t>Shumkov OA et al.  ·  Khirurgiia (Mosk)  ·  2026  ·  PMID 42831339</w:t>
      </w:r>
    </w:p>
    <w:p>
      <w:r>
        <w:t>Retrospektive 3-Jahres-Nachverfolgung von 17 Patienten mit schwerem Übergewicht (Ausgangs-BMI 64,28 kg/m²) nach One-Anastomosis-Mini-Gastric-Bypass mit Messung metabolischer Parameter und Komorbiditäten.</w:t>
      </w:r>
    </w:p>
    <w:p>
      <w:r>
        <w:rPr>
          <w:b/>
        </w:rPr>
        <w:t xml:space="preserve">Ergebnis: </w:t>
      </w:r>
      <w:r>
        <w:t>Gesamtgewichtsverlust Median 37,6 kg, Gewichtsverlust über Normalgewicht Median 57,3 kg. Diabetesremission in 84 %, Remission von Schlafapnoe-Symptomen in 94,1 %, normaler Blutdruck oder reduzierte Medikation in 50 %, Normalisierung von LDL oder Statin-Dosisreduktion in 79 %. Minimal frühe postoperative Komplikationen.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Russische Fallserie mit kleiner Stichprobe; begrenzte Aussagekraft für deutsche Versorgungsrealität.</w:t>
      </w:r>
    </w:p>
    <w:p>
      <w:r>
        <w:rPr>
          <w:color w:val="5A7D3A"/>
          <w:sz w:val="18"/>
        </w:rPr>
        <w:t>https://pubmed.ncbi.nlm.nih.gov/42831339/</w:t>
      </w:r>
    </w:p>
    <w:p>
      <w:pPr>
        <w:pStyle w:val="Heading2"/>
      </w:pPr>
      <w:r>
        <w:t>Wirtschaftslast von Übergewicht und Adipositas in Schweden: 7 Mrd. EUR 2023, Projektion auf 8,6 Mrd. EUR 2040</w:t>
      </w:r>
    </w:p>
    <w:p>
      <w:r>
        <w:rPr>
          <w:i/>
          <w:color w:val="666666"/>
          <w:sz w:val="18"/>
        </w:rPr>
        <w:t>Fridhammar A et al.  ·  Diabetes Obes Metab  ·  09.08.2026  ·  PMID 42572006</w:t>
      </w:r>
    </w:p>
    <w:p>
      <w:r>
        <w:t>Prävalenz-basierte Kostenanalyse in Schweden 2023 unter Gesellschaftsperspektive mit Hochrechnung auf 2040 unter Szenarien steigender Prävalenz; Einschluss von Gesundheitswesen, Sozialleistungen, Pharmaka, Produktivitätsausfällen und informeller Pflege.</w:t>
      </w:r>
    </w:p>
    <w:p>
      <w:r>
        <w:rPr>
          <w:b/>
        </w:rPr>
        <w:t xml:space="preserve">Ergebnis: </w:t>
      </w:r>
      <w:r>
        <w:t>Gesamtlast 2023: ≈7 Mrd. EUR (664 EUR pro Kopf); 2,6 Mrd. EUR Übergewicht, 4,4 Mrd. EUR Adipositas. Produktivitätsverluste 71 % der Kosten, Gesundheitsausgaben 21 %, Pharmaka/informelle Pflege/Soziales 8 %. Projektion 2040: 7,2 Mrd. EUR (Demografie allein) bis 8,6 Mrd. EUR (steigende Prävalenz). Ein Prozentpunkt weniger Adipositas-Prävalenz würde demografische Steigerung aufheben.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Nordeuropäisches Versicherungssystem mit ähnlichem Gesundheitsauftrag und Finanzierungsstruktur wie Deutschland; direkt vergleichbar.</w:t>
      </w:r>
    </w:p>
    <w:p>
      <w:r>
        <w:rPr>
          <w:color w:val="5A7D3A"/>
          <w:sz w:val="18"/>
        </w:rPr>
        <w:t>https://pubmed.ncbi.nlm.nih.gov/42572006/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