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12.09.2026  |  6 Studien  |  adipositas.m-vf.de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Strukturierte Schulungen für Adipositasbetreuende verbessern Fachkompetenz um 41%</w:t>
      </w:r>
    </w:p>
    <w:p>
      <w:r>
        <w:rPr>
          <w:i/>
          <w:color w:val="666666"/>
          <w:sz w:val="18"/>
        </w:rPr>
        <w:t>Wu R et al.  ·  Clin Obes  ·  Okt. 2026  ·  PMID 42728234</w:t>
      </w:r>
    </w:p>
    <w:p>
      <w:r>
        <w:t>Metaanalyse von 18 Studien (2020–2026) zu Effektivität strukturierter Weiterbildungsprogramme für Gesundheitsfachpersonen in Adipositasmanagement, gemessen an Praxiskompetenz und patientenrelevanten Ergebnissen.</w:t>
      </w:r>
    </w:p>
    <w:p>
      <w:r>
        <w:rPr>
          <w:b/>
        </w:rPr>
        <w:t xml:space="preserve">Ergebnis: </w:t>
      </w:r>
      <w:r>
        <w:t>Poolierte Analyse (7 Studien) zeigte signifikante Verbesserungen der Fachkompetenz (SMD=0,41; 95%-KI 0,12–0,70; p&lt;0,01). Programme ≥4 h erzeugten stärkere Effekte (SMD=0,68; 95%-KI 0,30–1,07; p&lt;0,01) als kürzere Interventionen. RCTs zeigten Effekt (SMD=0,53), Nicht-RCTs nicht. Persistentes Problem bleibt geringe Engagement-Rate in digital gestützten Angeboten.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Fachkompetenz ist trainierbar; Länge und Intensität entscheidend – relevant für Aus- und Weiterbildung in Praxen und Kliniken.</w:t>
      </w:r>
    </w:p>
    <w:p>
      <w:r>
        <w:rPr>
          <w:color w:val="5A7D3A"/>
          <w:sz w:val="18"/>
        </w:rPr>
        <w:t>https://pubmed.ncbi.nlm.nih.gov/42728234/</w:t>
      </w:r>
    </w:p>
    <w:p>
      <w:pPr>
        <w:pStyle w:val="Heading2"/>
      </w:pPr>
      <w:r>
        <w:t>Höhere Adipositas erhöht Infektionssterblichkeit 2,5-fach – Mendelian-Randomization-Studie</w:t>
      </w:r>
    </w:p>
    <w:p>
      <w:r>
        <w:rPr>
          <w:i/>
          <w:color w:val="666666"/>
          <w:sz w:val="18"/>
        </w:rPr>
        <w:t>Lawal L et al.  ·  Int J Epidemiol  ·  18.08.2026  ·  PMID 42727090</w:t>
      </w:r>
    </w:p>
    <w:p>
      <w:r>
        <w:t>Mendelian-Randomization-Analyse bei 126.491 mexikanischen Erwachsenen (Alter 35–74 Jahre) über 20 Jahre Nachverfolgung zum Effekt verschiedener Adipositätsmaße auf infektionsassoziierte Mortalität.</w:t>
      </w:r>
    </w:p>
    <w:p>
      <w:r>
        <w:rPr>
          <w:b/>
        </w:rPr>
        <w:t xml:space="preserve">Ergebnis: </w:t>
      </w:r>
      <w:r>
        <w:t>2.592 infektionsbedingte Todesfälle; genotypisch vorhergesagte höhere Fettmasse-Prozentsatz assoziiert mit HR 2,54 (95%-KI 1,91–3,38) für Infektionstod; Fettmasse-Prozentsatz zeigte stärkere Assoziation als BMI oder Hüftumfang. Assoziation über sechs Infektionssubtypen konsistent. Ergebnis deutet auf kausalen Zusammenhang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Mexiko, aber universal relevant: Adipositas erhöht nicht nur cardiometabole, sondern auch Infektionsrisiko – Versorgungsargument für Gewichtsintervention.</w:t>
      </w:r>
    </w:p>
    <w:p>
      <w:r>
        <w:rPr>
          <w:color w:val="5A7D3A"/>
          <w:sz w:val="18"/>
        </w:rPr>
        <w:t>https://pubmed.ncbi.nlm.nih.gov/42727090/</w:t>
      </w:r>
    </w:p>
    <w:p>
      <w:pPr>
        <w:pStyle w:val="Heading2"/>
      </w:pPr>
      <w:r>
        <w:t>Seltene Adipositas-Gene: MC4R-Defekte – Pathwege und klinische Betreung definiert</w:t>
      </w:r>
    </w:p>
    <w:p>
      <w:r>
        <w:rPr>
          <w:i/>
          <w:color w:val="666666"/>
          <w:sz w:val="18"/>
        </w:rPr>
        <w:t>Argente J et al.  ·  Clin Obes  ·  Okt. 2026  ·  PMID 42723356</w:t>
      </w:r>
    </w:p>
    <w:p>
      <w:r>
        <w:t>Konsensus-Konferenz (IMPROVE 2025, Prag) von 161 Klinikern aus 19 Ländern zu monogenen Adipositasformen und Hyperphagie im MC4R-Pathway, mit Updates zu Diagnostik, natürlichem Verlauf und Therapie.</w:t>
      </w:r>
    </w:p>
    <w:p>
      <w:r>
        <w:rPr>
          <w:b/>
        </w:rPr>
        <w:t xml:space="preserve">Ergebnis: </w:t>
      </w:r>
      <w:r>
        <w:t>Zentrale Erkenntnisse: MC4R-Pathway-Defekte und Bardet-Biedl-Syndrom erfordern spezifische genetische Diagnostik; frühe Intervention und multidisziplinäre Betreuung (inkl. Verhaltensansätze und zielgerichtete Medikamente) verbessernn Lebensqualität; Patientenversorgung steht zentral. Praktische Modelle für spezialisierte Zentren beschrieben.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(Deutschland, Niederlande, Frankreich, UK vertreten): Seltene Formen erfordern Spezialisierung und Vernetzung – Implikation für Referralstrukturen.</w:t>
      </w:r>
    </w:p>
    <w:p>
      <w:r>
        <w:rPr>
          <w:color w:val="5A7D3A"/>
          <w:sz w:val="18"/>
        </w:rPr>
        <w:t>https://pubmed.ncbi.nlm.nih.gov/42723356/</w:t>
      </w:r>
    </w:p>
    <w:p>
      <w:pPr>
        <w:pStyle w:val="Heading2"/>
      </w:pPr>
      <w:r>
        <w:t>Adipositas vor Darmkrebs-Diagnose: Das 'Paradoxon' erklärt durch Tumorbedingte Gewichtsverluste</w:t>
      </w:r>
    </w:p>
    <w:p>
      <w:r>
        <w:rPr>
          <w:i/>
          <w:color w:val="666666"/>
          <w:sz w:val="18"/>
        </w:rPr>
        <w:t>Mandic M et al.  ·  JAMA Netw Open  ·  03.08.2026  ·  PMID 42599706</w:t>
      </w:r>
    </w:p>
    <w:p>
      <w:r>
        <w:t>Bevölkerungsbasierte Fall-Kontroll-Studie mit prospektiver Nachverfolgung (5521 Darmkrebspatienten aus Südwestdeutschland 2001–2016) zum Einfluss von BMI bei Diagnose und prädiagnostischem Gewichtsverlust auf Gesamtüberleben, Darmkrebsspezifisches Überleben und Rezidivfreiheit.</w:t>
      </w:r>
    </w:p>
    <w:p>
      <w:r>
        <w:rPr>
          <w:b/>
        </w:rPr>
        <w:t xml:space="preserve">Ergebnis: </w:t>
      </w:r>
      <w:r>
        <w:t>2.429 Todesfälle über 5,2 Jahre Median-Nachverfolgung; prädiagnostischer Gewichtsverlust &gt;10% mit HR 1,55 (95%-KI 1,39–1,72) für schlechteres Überleben assoziiert. Nach gegenseitiger Anpassung für BMI bei Diagnose und prädiagnostischen Gewichtswandel wurden vermeintliche Übergewichts-Schutzeffekte auf Null reduziert. Schlussfolgerung: Adipositas-Paradoxon erklärt durch okkulte Krebssymptomatik.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klinische Praxis; zeigt, dass BMI ohne Gewichtsverlauf-Kontext irreführend ist – wichtig für Stratifizierung.</w:t>
      </w:r>
    </w:p>
    <w:p>
      <w:r>
        <w:rPr>
          <w:color w:val="5A7D3A"/>
          <w:sz w:val="18"/>
        </w:rPr>
        <w:t>https://pubmed.ncbi.nlm.nih.gov/42599706/</w:t>
      </w:r>
    </w:p>
    <w:p>
      <w:pPr>
        <w:pStyle w:val="Heading2"/>
      </w:pPr>
      <w:r>
        <w:t>Endoskopische Magenplikation erreicht 14,75 % Gewichtsverlust in 6 Monaten – europäische Multicenter-Studie</w:t>
      </w:r>
    </w:p>
    <w:p>
      <w:r>
        <w:rPr>
          <w:i/>
          <w:color w:val="666666"/>
          <w:sz w:val="18"/>
        </w:rPr>
        <w:t>Turró Araú R et al.  ·  Obes Surg  ·  20.07.2026  ·  PMID 42474954</w:t>
      </w:r>
    </w:p>
    <w:p>
      <w:r>
        <w:t>Retrospektive Multicenter-Kohortenstudie (54 Patienten über 6 Zentren in Europa) zur technischen Reproduzierbarkeit, klinischen Wirksamkeit und Sicherheit der MEGA-Technik (modifizierte endoskopische Gastroplizierung mit 2 G-LIX-Devices) bei Adipositas.</w:t>
      </w:r>
    </w:p>
    <w:p>
      <w:r>
        <w:rPr>
          <w:b/>
        </w:rPr>
        <w:t xml:space="preserve">Ergebnis: </w:t>
      </w:r>
      <w:r>
        <w:t>Mittlerer Gewichtsverlust 14,75±6,24 % TBWL (total body weight loss) bzw. 56,17±33,75 % EBWL (excess body weight loss); 81,5 % der Patienten erreichten ≥10 % TBWL. Keine schweren unerwünschten Ereignisse. Keine signifikanten Unterschiede zwischen Zentren (p=0,406). Keine Korrelation Anzahl Nähte–Gewichtsverlust.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(Spanien, Italien, Niederlande, Österreich, Deutschland): Kostengünstige endoskopische Alternative zu Chirurgie; langzeitdaten fehlen noch.</w:t>
      </w:r>
    </w:p>
    <w:p>
      <w:r>
        <w:rPr>
          <w:color w:val="5A7D3A"/>
          <w:sz w:val="18"/>
        </w:rPr>
        <w:t>https://pubmed.ncbi.nlm.nih.gov/42474954/</w:t>
      </w:r>
    </w:p>
    <w:p>
      <w:pPr>
        <w:pStyle w:val="Heading2"/>
      </w:pPr>
      <w:r>
        <w:t>Cushing-Remission heilt metabolische Schäden nicht: Diabetes siebenfach häufiger nach 7 Jahren</w:t>
      </w:r>
    </w:p>
    <w:p>
      <w:r>
        <w:rPr>
          <w:i/>
          <w:color w:val="666666"/>
          <w:sz w:val="18"/>
        </w:rPr>
        <w:t>Rubinstein G et al.  ·  Diabetes Res Clin Pract  ·  13.07.2026  ·  PMID 42442551</w:t>
      </w:r>
    </w:p>
    <w:p>
      <w:r>
        <w:t>Longitudinale Kohortenstudie (99 Cushing-Patienten vs. 396 alters- und geschlechtsgematcht Kontrollen aus KORA) zur Persistenz metabolischer Störungen 7 Jahre nach biochemischer Remission vom Cushing-Syndrom.</w:t>
      </w:r>
    </w:p>
    <w:p>
      <w:r>
        <w:rPr>
          <w:b/>
        </w:rPr>
        <w:t xml:space="preserve">Ergebnis: </w:t>
      </w:r>
      <w:r>
        <w:t>Trotz langfristiger Verbesserung nach Remission: höhere Fettmasse (39% vs. 35%, p=0,0013), erhöhte Waist-to-Hip-Ratio (0,89 vs. 0,82, p&lt;0,0001), erhöhtes HbA1c (5,5% vs. 5,4%, p=0,0087), Diabetes 19% vs. 4% (p&lt;0,0001). Entzündungsmarker stark assoziiert – deuten auf anhaltende inflammatorische Pathologie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Deutsche LMU-München-Daten; zeigt, dass hormonelle Heilung Organschäden nicht umkehrt – Nachsorge und Metabolische Reha notwendig.</w:t>
      </w:r>
    </w:p>
    <w:p>
      <w:r>
        <w:rPr>
          <w:color w:val="5A7D3A"/>
          <w:sz w:val="18"/>
        </w:rPr>
        <w:t>https://pubmed.ncbi.nlm.nih.gov/42442551/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