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22.10.2026  |  363 Studien  |  adipositas.m-vf.de</w:t>
      </w:r>
    </w:p>
    <w:p>
      <w:pPr>
        <w:pStyle w:val="Heading1"/>
      </w:pPr>
      <w:r>
        <w:t>Aufgenommen am 22.10.2026</w:t>
      </w:r>
    </w:p>
    <w:p>
      <w:pPr>
        <w:pStyle w:val="Heading2"/>
      </w:pPr>
      <w:r>
        <w:t>PCOS und Metabolisches Syndrom: Prävalenz 81,4% statt 30% bei Kontrollen, LAP-Score sensitivste Marke</w:t>
      </w:r>
    </w:p>
    <w:p>
      <w:r>
        <w:rPr>
          <w:i/>
          <w:color w:val="666666"/>
          <w:sz w:val="18"/>
        </w:rPr>
        <w:t>Baidya S et al.  ·  BMC Womens Health  ·  25.07.2026  ·  PMID 42902247</w:t>
      </w:r>
    </w:p>
    <w:p>
      <w:r>
        <w:t>Querschnittstudie 70 PCOS- und 60 Kontrollpatientinnen zur Bestimmung atherogenisierender Lipidindizes und Metabolisches-Syndrom-Prävalenz mittels Labor- und anthropometrischen Messungen.</w:t>
      </w:r>
    </w:p>
    <w:p>
      <w:r>
        <w:rPr>
          <w:b/>
        </w:rPr>
        <w:t xml:space="preserve">Ergebnis: </w:t>
      </w:r>
      <w:r>
        <w:t>PCOS-Gruppe versus Kontrollen: höhere atherogenisierende Lipidindizes (CRI-I, CRI-II, AIP, AC, LCI, LAP). Metabolisches-Syndrom-Prävalenz PCOS 81,4% (n=57) versus Kontrollen 30% (n=18). LAP-Score effizientester Indikator für Metabolisches Syndrom bei PCOS mit AUC 0,829 (p&lt;0,001), Sensitivität 80%, Spezifität 94,5%.</w:t>
      </w:r>
    </w:p>
    <w:p>
      <w:r>
        <w:rPr>
          <w:b/>
          <w:sz w:val="19"/>
        </w:rPr>
        <w:t xml:space="preserve">Übertragbarkeit: </w:t>
      </w:r>
      <w:r>
        <w:rPr>
          <w:sz w:val="19"/>
        </w:rPr>
        <w:t>Nepal, aber PCOS-Adipositas-Metabolismus weltweit vergleichbar; LAP-Score als Screening-Tool auf DACH-Ebene prüfenswert.</w:t>
      </w:r>
    </w:p>
    <w:p>
      <w:r>
        <w:rPr>
          <w:color w:val="5A7D3A"/>
          <w:sz w:val="18"/>
        </w:rPr>
        <w:t>https://pubmed.ncbi.nlm.nih.gov/42902247/</w:t>
      </w:r>
    </w:p>
    <w:p>
      <w:pPr>
        <w:pStyle w:val="Heading2"/>
      </w:pPr>
      <w:r>
        <w:t>Viszerale Adipositas erhöht Kardiometabolisches Risiko auch bei Normalgewicht</w:t>
      </w:r>
    </w:p>
    <w:p>
      <w:r>
        <w:rPr>
          <w:i/>
          <w:color w:val="666666"/>
          <w:sz w:val="18"/>
        </w:rPr>
        <w:t>Cheng Y et al.  ·  BMC Cardiovasc Disord  ·  24.07.2026  ·  PMID 42902148</w:t>
      </w:r>
    </w:p>
    <w:p>
      <w:r>
        <w:t>Longitudinale Kohortenstudie mit 5.606 Erwachsenen (Normalgewicht, BMI 18–24) aus Gesundheitschecks in China; Follow-up 1,98 Jahre auf Kardiometabolische Ereignisse stratifiziert nach viszeraler Fettverteilung.</w:t>
      </w:r>
    </w:p>
    <w:p>
      <w:r>
        <w:rPr>
          <w:b/>
        </w:rPr>
        <w:t xml:space="preserve">Ergebnis: </w:t>
      </w:r>
      <w:r>
        <w:t>Normalgewicht mit zentraler Adipositas (viszerale Fettansammlung) zeigte erhöhtes Risiko für kardiometabolische Störungen: Hazard Ratio 1,39 (95%-KI 1,13–1,71) gegenüber Normalgewicht ohne zentrale Adipositas. Ähnliche Risikoerhöhungen für Hypertonie, Diabetes und Hyperlipidämie. Abdominalfettverteilung ist auch bei normaler BMI ein Risikofaktor.</w:t>
      </w:r>
    </w:p>
    <w:p>
      <w:r>
        <w:rPr>
          <w:b/>
          <w:sz w:val="19"/>
        </w:rPr>
        <w:t xml:space="preserve">Übertragbarkeit: </w:t>
      </w:r>
      <w:r>
        <w:rPr>
          <w:sz w:val="19"/>
        </w:rPr>
        <w:t>China, ambulante Routineuntersuchungen; gilt für Gesundheitssysteme mit Prävention durch Leistungserbringer wie Deutschland.</w:t>
      </w:r>
    </w:p>
    <w:p>
      <w:r>
        <w:rPr>
          <w:color w:val="5A7D3A"/>
          <w:sz w:val="18"/>
        </w:rPr>
        <w:t>https://pubmed.ncbi.nlm.nih.gov/42902148/</w:t>
      </w:r>
    </w:p>
    <w:p>
      <w:pPr>
        <w:pStyle w:val="Heading2"/>
      </w:pPr>
      <w:r>
        <w:t>GLP-1 und plastische Chirurgie: Perioperatives Timing und Muskelverlust erfordern multidisziplinäres Protokoll</w:t>
      </w:r>
    </w:p>
    <w:p>
      <w:r>
        <w:rPr>
          <w:i/>
          <w:color w:val="666666"/>
          <w:sz w:val="18"/>
        </w:rPr>
        <w:t>Chaturvedi R et al.  ·  Front Endocrinol (Lausanne)  ·  05.10.2026  ·  PMID 42898660</w:t>
      </w:r>
    </w:p>
    <w:p>
      <w:r>
        <w:t>Narrative Übersicht über GLP-1-Rezeptoragonisten und Dualagonisten im Kontext ästhetisch-plastischer Eingriffe; Fokus auf perioperative Sicherheit, Körperzusammensetzung, Magerkörpermasse-Verlust und Wiederzunahme nach Absetzen.</w:t>
      </w:r>
    </w:p>
    <w:p>
      <w:r>
        <w:rPr>
          <w:b/>
        </w:rPr>
        <w:t xml:space="preserve">Ergebnis: </w:t>
      </w:r>
      <w:r>
        <w:t>GLP-1 RAs führen zu zweistelligen prozentualen Gewichtsverlusten, erweitern chirurgische Operabilität, erzeugen aber neue Hauterschlaffung und Volumenverlust; verzögerte Magenmotorik mit Aspirationsrisiko, Magen-Darm-Nebenwirkungen bei Dosiseskalation, Magerkörpermasse-Verlust und Malnutrition bei supprimiertem Appetit, häufige Wiederzunahme nach Absetzen gefährden chirurgische Haltbarkeit. Empfehlung: multidisziplinärer Algorithmus (Endokrinologe–Chirurg–Anästhesist) zur risikogesteuerten Operationstiming und Ernährungsoptimierung.</w:t>
      </w:r>
    </w:p>
    <w:p>
      <w:r>
        <w:rPr>
          <w:b/>
          <w:sz w:val="19"/>
        </w:rPr>
        <w:t xml:space="preserve">Übertragbarkeit: </w:t>
      </w:r>
      <w:r>
        <w:rPr>
          <w:sz w:val="19"/>
        </w:rPr>
        <w:t>Indien, aber GLP-1-Versorgung in Deutschland nach §34 SGB V ausgeschlossen; Protokoll nur bei privat bezahlten Patienten relevant.</w:t>
      </w:r>
    </w:p>
    <w:p>
      <w:r>
        <w:rPr>
          <w:color w:val="5A7D3A"/>
          <w:sz w:val="18"/>
        </w:rPr>
        <w:t>https://pubmed.ncbi.nlm.nih.gov/42898660/</w:t>
      </w:r>
    </w:p>
    <w:p>
      <w:pPr>
        <w:pStyle w:val="Heading2"/>
      </w:pPr>
      <w:r>
        <w:t>Phytodiab bei Typ-2-Diabetes und Metabolischem Syndrom: Gewicht und HbA1c sanken über 12 Wochen</w:t>
      </w:r>
    </w:p>
    <w:p>
      <w:r>
        <w:rPr>
          <w:i/>
          <w:color w:val="666666"/>
          <w:sz w:val="18"/>
        </w:rPr>
        <w:t>Belcaro G et al.  ·  Panminerva Med  ·  Sept. 2026  ·  PMID 42895045</w:t>
      </w:r>
    </w:p>
    <w:p>
      <w:r>
        <w:t>12-Wochen-Beobachtungsregistry bei 60 Erwachsenen mit leicht-mäßigem Typ-2-Diabetes, Übergewicht, ohne Komplikationen und ohne Pharmakotherapie; Vergleich Phytodiab-Extrakt (n=30) plus Lebensstilmaßnahmen versus Lebensstilmaßnahmen allein (n=30).</w:t>
      </w:r>
    </w:p>
    <w:p>
      <w:r>
        <w:rPr>
          <w:b/>
        </w:rPr>
        <w:t xml:space="preserve">Ergebnis: </w:t>
      </w:r>
      <w:r>
        <w:t>Phytodiab plus Lebensstilmaßnahmen gegenüber alleinigen Maßnahmen (p&lt;0,05): Gewichtsreduktion, Fettmassereduktion, Nüchternglukose, HbA1c und oxidativer Stress alle signifikant reduziert. Hohe Compliance (96%), keine Toleranzprobleme, Routinelaborparameter normal. Vorläufige Befunde für weitere kontrollierte Studien in größeren Populationen.</w:t>
      </w:r>
    </w:p>
    <w:p>
      <w:r>
        <w:rPr>
          <w:b/>
          <w:sz w:val="19"/>
        </w:rPr>
        <w:t xml:space="preserve">Übertragbarkeit: </w:t>
      </w:r>
      <w:r>
        <w:rPr>
          <w:sz w:val="19"/>
        </w:rPr>
        <w:t>Italien, offenes Design; Phytopharmaka-Effekte regional variabel; Übertragbarkeit begrenzt auf deutschsprachige Naturprodukt-regulierung.</w:t>
      </w:r>
    </w:p>
    <w:p>
      <w:r>
        <w:rPr>
          <w:color w:val="5A7D3A"/>
          <w:sz w:val="18"/>
        </w:rPr>
        <w:t>https://pubmed.ncbi.nlm.nih.gov/42895045/</w:t>
      </w:r>
    </w:p>
    <w:p>
      <w:pPr>
        <w:pStyle w:val="Heading2"/>
      </w:pPr>
      <w:r>
        <w:t>Esketamin-Anästhesie bei Adipositaschirurgie: weniger Schmerz, bessere Psyche</w:t>
      </w:r>
    </w:p>
    <w:p>
      <w:r>
        <w:rPr>
          <w:i/>
          <w:color w:val="666666"/>
          <w:sz w:val="18"/>
        </w:rPr>
        <w:t>Huang C et al.  ·  Transl Psychiatry  ·  23.07.2026  ·  PMID 42893989</w:t>
      </w:r>
    </w:p>
    <w:p>
      <w:r>
        <w:t>Randomisierte Doppelblind-Studie (n=84, 88,1% Follow-up nach 3 Monaten) zur Esketamin-basierten opioidfreien Anästhesie versus Remifentanil bei laparoskopischer Sleeve-Gastrektomie, primäre Endpunkte postoperativer Schmerz (24 h) und psychische Gesundheit (3 Monate).</w:t>
      </w:r>
    </w:p>
    <w:p>
      <w:r>
        <w:rPr>
          <w:b/>
        </w:rPr>
        <w:t xml:space="preserve">Ergebnis: </w:t>
      </w:r>
      <w:r>
        <w:t>Esketamin-Gruppe: signifikant niedrigere postoperative Schmerzintensität (p&lt;0,01), reduzierte moderate-schwere Schmerzfälle (p&lt;0,05) in den ersten 24 h. Nach 3 Monaten bessere psychische Gesundheitsergebnisse; Nebenwirkungsrate nicht erhöht. Metaboliten zeigten therapeutische Kinetik. Esketamin verbesserte parallel physische und psychische Erholung nach Adipositaschirurgie.</w:t>
      </w:r>
    </w:p>
    <w:p>
      <w:r>
        <w:rPr>
          <w:b/>
          <w:sz w:val="19"/>
        </w:rPr>
        <w:t xml:space="preserve">Übertragbarkeit: </w:t>
      </w:r>
      <w:r>
        <w:rPr>
          <w:sz w:val="19"/>
        </w:rPr>
        <w:t>China, aber opioidfreie Strategien sind Versorgungsstandard in Europa; Psyche-Outcome-Fokus auf DACH-Ebene relevant.</w:t>
      </w:r>
    </w:p>
    <w:p>
      <w:r>
        <w:rPr>
          <w:color w:val="5A7D3A"/>
          <w:sz w:val="18"/>
        </w:rPr>
        <w:t>https://pubmed.ncbi.nlm.nih.gov/42893989/</w:t>
      </w:r>
    </w:p>
    <w:p>
      <w:pPr>
        <w:pStyle w:val="Heading2"/>
      </w:pPr>
      <w:r>
        <w:t>CagriSema gegen Semaglutid: 6,9 % zusätzlicher Gewichtsverlust, höhere Injektionsreaktionen</w:t>
      </w:r>
    </w:p>
    <w:p>
      <w:r>
        <w:rPr>
          <w:i/>
          <w:color w:val="666666"/>
          <w:sz w:val="18"/>
        </w:rPr>
        <w:t>Rasool ZK et al.  ·  Front Endocrinol (Lausanne)  ·  02.10.2026  ·  PMID 42890523</w:t>
      </w:r>
    </w:p>
    <w:p>
      <w:r>
        <w:t>Systematische Übersicht und Metaanalyse von 5 RCTs (n=4.746) zur Doppelwirkstoff-Fixkombination CagriSema (Cagrilintid+Semaglutid) versus Semaglutid 2,4 mg Monotherapie bei Übergewicht/Adipositas mit und ohne Typ-2-Diabetes.</w:t>
      </w:r>
    </w:p>
    <w:p>
      <w:r>
        <w:rPr>
          <w:b/>
        </w:rPr>
        <w:t xml:space="preserve">Ergebnis: </w:t>
      </w:r>
      <w:r>
        <w:t>CagriSema versus Semaglutid 2,4 mg: mittlere Differenz Gewichtsverlust -6,89 Prozentpunkte (95%-KI -8,70 bis -5,06), absolute Reduktion -7,16 kg (95%-KI -9,15 bis -5,17), BMI-Reduktion -2,41 kg/m² (95%-KI -2,83 bis -1,99). Verdoppelte Wahrscheinlichkeit 20%-Gewichtsverlust (RR 2,10). Injektionsreaktionen 3,14× häufiger (95%-KI 1,42–6,96). Gastrointestinale Nebenwirkungen nicht signifikant erhöht. Kein zusätzlicher glykämischer Nutzen.</w:t>
      </w:r>
    </w:p>
    <w:p>
      <w:r>
        <w:rPr>
          <w:b/>
          <w:sz w:val="19"/>
        </w:rPr>
        <w:t xml:space="preserve">Übertragbarkeit: </w:t>
      </w:r>
      <w:r>
        <w:rPr>
          <w:sz w:val="19"/>
        </w:rPr>
        <w:t>USA und Internationales; Erstattung in Deutschland für GLP-1 RA ausgeschlossen nach §34 SGB V, Kombinationspräparate ebenfalls nicht erstattet.</w:t>
      </w:r>
    </w:p>
    <w:p>
      <w:r>
        <w:rPr>
          <w:color w:val="5A7D3A"/>
          <w:sz w:val="18"/>
        </w:rPr>
        <w:t>https://pubmed.ncbi.nlm.nih.gov/42890523/</w:t>
      </w:r>
    </w:p>
    <w:p>
      <w:pPr>
        <w:pStyle w:val="Heading2"/>
      </w:pPr>
      <w:r>
        <w:t>Adipositas senkt Beschäftigungsquote: Mendelsche Randomisierung zeigt kausalen Effekt</w:t>
      </w:r>
    </w:p>
    <w:p>
      <w:r>
        <w:rPr>
          <w:i/>
          <w:color w:val="666666"/>
          <w:sz w:val="18"/>
        </w:rPr>
        <w:t>Katz A  ·  Soc Sci Med  ·  04.09.2026  ·  PMID 42828830</w:t>
      </w:r>
    </w:p>
    <w:p>
      <w:r>
        <w:t>Mendelsche Randomisierung mit genetischem Risikoscore für BMI in UK-Biobank-Daten zur Analyse des kausalen Effekts von Adipositas auf Beschäftigungschancen, differenziert nach Geschlecht und sozioökonomischen Faktoren.</w:t>
      </w:r>
    </w:p>
    <w:p>
      <w:r>
        <w:rPr>
          <w:b/>
        </w:rPr>
        <w:t xml:space="preserve">Ergebnis: </w:t>
      </w:r>
      <w:r>
        <w:t>Adipositas hatte einen signifikant negativen kausalen Effekt auf Beschäftigung über alle Analysemethoden hinweg. Frauen zeigten in linearen Modellen stärkere Beschäftigungseinbußen, während Person-Centered-Treatment-Effects-Analysen ein gegensätzliches Muster offenbarten. Die Befunde unterstreichen die wirtschaftliche Krankheitslast von Adipositas jenseits der medizinischen Dimension.</w:t>
      </w:r>
    </w:p>
    <w:p>
      <w:r>
        <w:rPr>
          <w:b/>
          <w:sz w:val="19"/>
        </w:rPr>
        <w:t xml:space="preserve">Übertragbarkeit: </w:t>
      </w:r>
      <w:r>
        <w:rPr>
          <w:sz w:val="19"/>
        </w:rPr>
        <w:t>UK Biobank mit genetischen und Erwerbsdaten; Übertragbarkeit auf DACH-Länder hoch bei vergleichbarer Arbeitsmärkte.</w:t>
      </w:r>
    </w:p>
    <w:p>
      <w:r>
        <w:rPr>
          <w:color w:val="5A7D3A"/>
          <w:sz w:val="18"/>
        </w:rPr>
        <w:t>https://pubmed.ncbi.nlm.nih.gov/42828830/</w:t>
      </w:r>
    </w:p>
    <w:p>
      <w:pPr>
        <w:pStyle w:val="Heading1"/>
      </w:pPr>
      <w:r>
        <w:t>Aufgenommen am 21.10.2026</w:t>
      </w:r>
    </w:p>
    <w:p>
      <w:pPr>
        <w:pStyle w:val="Heading2"/>
      </w:pPr>
      <w:r>
        <w:t>Semaglutide in chilenischem Gesundheitssystem: HbA1c von 8,6 auf 7 %, 31 % sparten Insulindosen</w:t>
      </w:r>
    </w:p>
    <w:p>
      <w:r>
        <w:rPr>
          <w:i/>
          <w:color w:val="666666"/>
          <w:sz w:val="18"/>
        </w:rPr>
        <w:t>Estica M et al.  ·  Rev Med Chil  ·  Aug. 2026  ·  PMID 42899606</w:t>
      </w:r>
    </w:p>
    <w:p>
      <w:r>
        <w:t>Chilenische Phase-IV-Multicenterstudie an 104 Patienten mit Typ-2-Diabetes (79,8 % Frauen, 44,2 % über 60 Jahre) zur Wirksamkeit und Sicherheit von wöchentlichem Semaglutid 0,5 oder 1 mg über 24 Wochen in der öffentlichen Gesundheitsversorgung.</w:t>
      </w:r>
    </w:p>
    <w:p>
      <w:r>
        <w:rPr>
          <w:b/>
        </w:rPr>
        <w:t xml:space="preserve">Ergebnis: </w:t>
      </w:r>
      <w:r>
        <w:t>HbA1c sank von 8,6 ± 0,7 % auf 7,0 ± 1,0 % (Differenz -1,6 %), Nüchternglukose von 160,3 ± 49,3 auf 133,7 ± 54,8 mg/dL (Differenz -26,2 mg/dL), Körpergewicht von 89,3 ± 20,2 auf 85,3 ± 20,4 kg (Differenz -4 kg). 56,4 % erreichten HbA1c &lt; 7 % (vs. 0 % zu Studienbeginn). 31 % der mit Basalinsulin behandelten Patienten reduzieren Insulindosen (Median -6 IE). Gastrointestinale Nebenwirkungen entsprechend bekanntem Sicherheitsprofil.</w:t>
      </w:r>
    </w:p>
    <w:p>
      <w:r>
        <w:rPr>
          <w:b/>
          <w:sz w:val="19"/>
        </w:rPr>
        <w:t xml:space="preserve">Übertragbarkeit: </w:t>
      </w:r>
      <w:r>
        <w:rPr>
          <w:sz w:val="19"/>
        </w:rPr>
        <w:t>Lateinamerika, aber öffentliches Versicherungssystem, erste Realdaten aus Nicht-USA-Gesundheitssystem</w:t>
      </w:r>
    </w:p>
    <w:p>
      <w:r>
        <w:rPr>
          <w:color w:val="5A7D3A"/>
          <w:sz w:val="18"/>
        </w:rPr>
        <w:t>https://pubmed.ncbi.nlm.nih.gov/42899606/</w:t>
      </w:r>
    </w:p>
    <w:p>
      <w:pPr>
        <w:pStyle w:val="Heading2"/>
      </w:pPr>
      <w:r>
        <w:t>Bildung, nicht Einkommen, ist stärkster Adipositas-Prädiktor im Lebensverlauf</w:t>
      </w:r>
    </w:p>
    <w:p>
      <w:r>
        <w:rPr>
          <w:i/>
          <w:color w:val="666666"/>
          <w:sz w:val="18"/>
        </w:rPr>
        <w:t>Issayeva Z et al.  ·  Int J Popul Data Sci  ·  29.09.2026  ·  PMID 42899118</w:t>
      </w:r>
    </w:p>
    <w:p>
      <w:r>
        <w:t>Südkoreanische Querschnittstudie an 12.075 Erwachsenen (KNHANES 2022–2024) zur Assoziation von Sozioökonomischem Status (Bildung, Einkommen, Erwerbsstatus) mit Adipositas (BMI ≥ 25 kg/m²) mittels Lebenszyklusrahmen.</w:t>
      </w:r>
    </w:p>
    <w:p>
      <w:r>
        <w:rPr>
          <w:b/>
        </w:rPr>
        <w:t xml:space="preserve">Ergebnis: </w:t>
      </w:r>
      <w:r>
        <w:t>Niedrigere Schulbildung war der konsistenteste Prädiktor für Adipositas; Einkommen und Erwerbsstatus zeigten nach Adjustierung heterogenere Assoziationen. Die Befunde stützen die Lebensverlauf-Perspektive, wonach kumulative sozioökonomische Bedingungen und strukturelle Zwänge das Adipositas-Risiko prägen.</w:t>
      </w:r>
    </w:p>
    <w:p>
      <w:r>
        <w:rPr>
          <w:b/>
          <w:sz w:val="19"/>
        </w:rPr>
        <w:t xml:space="preserve">Übertragbarkeit: </w:t>
      </w:r>
      <w:r>
        <w:rPr>
          <w:sz w:val="19"/>
        </w:rPr>
        <w:t>Asienische Vergleichspopulation, aber robuste Methodik mit nationalen Populationsdaten, Erkenntnisse zu Ungleichheit übertragbar</w:t>
      </w:r>
    </w:p>
    <w:p>
      <w:r>
        <w:rPr>
          <w:color w:val="5A7D3A"/>
          <w:sz w:val="18"/>
        </w:rPr>
        <w:t>https://pubmed.ncbi.nlm.nih.gov/42899118/</w:t>
      </w:r>
    </w:p>
    <w:p>
      <w:pPr>
        <w:pStyle w:val="Heading2"/>
      </w:pPr>
      <w:r>
        <w:t>Herzfettkörper und Entzündungsmarker bei Typ-2-Diabetes: Woran Komplikationen hängen</w:t>
      </w:r>
    </w:p>
    <w:p>
      <w:r>
        <w:rPr>
          <w:i/>
          <w:color w:val="666666"/>
          <w:sz w:val="18"/>
        </w:rPr>
        <w:t>Jensen MS et al.  ·  Cardiovasc Diabetol  ·  23.07.2026  ·  PMID 42897624</w:t>
      </w:r>
    </w:p>
    <w:p>
      <w:r>
        <w:t>Dänische Querschnittstudie an 887 Personen mit Typ-2-Diabetes ohne klinische Herzkrankheit zur Assoziation von perikardialem Fettvolumen mit koronarer Verkalkung, myokardialer Mikrozirkulation und systemischer Entzündung (hsCRP).</w:t>
      </w:r>
    </w:p>
    <w:p>
      <w:r>
        <w:rPr>
          <w:b/>
        </w:rPr>
        <w:t xml:space="preserve">Ergebnis: </w:t>
      </w:r>
      <w:r>
        <w:t>Perikardiales Fettvolumen war nach Adjustierung für kardiovaskuläre Risikofaktoren nicht unabhängig mit koronarer Verkalkung oder Mikrozirkulationsstörung assoziiert, aber mit 14 % höherem hsCRP pro 100 mL Mehrvolumen (95 % CI 4–25 %; p = 0,005). Damit zeigt sich eine Assoziation mit systemischer Entzündung, nicht aber mit strukturellen Koronarveränderungen.</w:t>
      </w:r>
    </w:p>
    <w:p>
      <w:r>
        <w:rPr>
          <w:b/>
          <w:sz w:val="19"/>
        </w:rPr>
        <w:t xml:space="preserve">Übertragbarkeit: </w:t>
      </w:r>
      <w:r>
        <w:rPr>
          <w:sz w:val="19"/>
        </w:rPr>
        <w:t>Dänische Klinikkohorte, europäisches Versicherungssystem, vergleichbare Diabetes-Versorgung</w:t>
      </w:r>
    </w:p>
    <w:p>
      <w:r>
        <w:rPr>
          <w:color w:val="5A7D3A"/>
          <w:sz w:val="18"/>
        </w:rPr>
        <w:t>https://pubmed.ncbi.nlm.nih.gov/42897624/</w:t>
      </w:r>
    </w:p>
    <w:p>
      <w:pPr>
        <w:pStyle w:val="Heading2"/>
      </w:pPr>
      <w:r>
        <w:t>Adipositas bei Inselteenagern 2023: 37,6 % übergewichtig oder adipös – und wenig Vorsorge</w:t>
      </w:r>
    </w:p>
    <w:p>
      <w:r>
        <w:rPr>
          <w:i/>
          <w:color w:val="666666"/>
          <w:sz w:val="18"/>
        </w:rPr>
        <w:t>Bay JL et al.  ·  BMC Public Health  ·  24.07.2026  ·  PMID 42897504</w:t>
      </w:r>
    </w:p>
    <w:p>
      <w:r>
        <w:t>Mehrjährige Querschnittstudie der Cook Islands an Schülern der 9. Klasse (2016–2019, 2022–2023; n = 783) zur Prävalenz von Stoffwechsel-Risikofaktoren und metabolischem Syndrom bei Jugendlichen (Medianalter 13,8 Jahre).</w:t>
      </w:r>
    </w:p>
    <w:p>
      <w:r>
        <w:rPr>
          <w:b/>
        </w:rPr>
        <w:t xml:space="preserve">Ergebnis: </w:t>
      </w:r>
      <w:r>
        <w:t>Prävalenzen: 22,1 % Übergewicht, 37,6 % Adipositas, 39,1 % erhöhtes Waist-to-Height-Ratio (&gt;0,5), 9,4 % hoher Blutdruck, 8,1 % erhöhtes Gesamtcholesterin, 37,1 % erhöhte Nüchternglukose. Bei verfügbaren Vollmessungen (n = 261) hatten 27,6 % der adipösen Kinder ≥2 Risikofaktoren. Starke Korrelationen zwischen BMI-for-Age und Waist-to-Height-Ratio (χ² p &lt; 0,001).</w:t>
      </w:r>
    </w:p>
    <w:p>
      <w:r>
        <w:rPr>
          <w:b/>
          <w:sz w:val="19"/>
        </w:rPr>
        <w:t xml:space="preserve">Übertragbarkeit: </w:t>
      </w:r>
      <w:r>
        <w:rPr>
          <w:sz w:val="19"/>
        </w:rPr>
        <w:t>Pazifisches Inselland, kleine Population, aber epidemiologisch extrem relevant für frühe Prävention</w:t>
      </w:r>
    </w:p>
    <w:p>
      <w:r>
        <w:rPr>
          <w:color w:val="5A7D3A"/>
          <w:sz w:val="18"/>
        </w:rPr>
        <w:t>https://pubmed.ncbi.nlm.nih.gov/42897504/</w:t>
      </w:r>
    </w:p>
    <w:p>
      <w:pPr>
        <w:pStyle w:val="Heading2"/>
      </w:pPr>
      <w:r>
        <w:t>Muskelschwäche plus Bauchfett senkt Lebensqualität bei Brustkrebs um messbare Grade</w:t>
      </w:r>
    </w:p>
    <w:p>
      <w:r>
        <w:rPr>
          <w:i/>
          <w:color w:val="666666"/>
          <w:sz w:val="18"/>
        </w:rPr>
        <w:t>Anunciação TAD et al.  ·  J Obes  ·  2026  ·  PMID 42891917</w:t>
      </w:r>
    </w:p>
    <w:p>
      <w:r>
        <w:t>Brasilianische Querschnittsstudie an 97 übergewichtigen oder adipösen Frauen vor elektiver Brust-Operation zur Assoziation von dynapenier Bauchfettsucht (BMI ≥ 30, Taillenumfang ≥ 88 cm, Handgriffstärke vermindert) mit Lebensqualität gemessen per FACT-B- und TOI-Skalen.</w:t>
      </w:r>
    </w:p>
    <w:p>
      <w:r>
        <w:rPr>
          <w:b/>
        </w:rPr>
        <w:t xml:space="preserve">Ergebnis: </w:t>
      </w:r>
      <w:r>
        <w:t>Dyanpäne Bauchfettsucht war unabhängig mit signifikant niedrigeren Lebensqualitäts-Scores assoziiert, auch nach Adjustierung für Alter, Einkommen, Bildung und körperliche Aktivität. Frauen mit niedriger Bildung, unregelmäßiger Aktivität, niedrigerem Einkommen und schwerer Adipositas zeigten verschlechterte FACT-B-, FACT-G- und Trial-Outcome-Index-Scores (alle p &lt; 0,05).</w:t>
      </w:r>
    </w:p>
    <w:p>
      <w:r>
        <w:rPr>
          <w:b/>
          <w:sz w:val="19"/>
        </w:rPr>
        <w:t xml:space="preserve">Übertragbarkeit: </w:t>
      </w:r>
      <w:r>
        <w:rPr>
          <w:sz w:val="19"/>
        </w:rPr>
        <w:t>Brasilien, aber Symptom-Messung per validiertem internationalen Instrument, Evidenz für Patientenprioritäten</w:t>
      </w:r>
    </w:p>
    <w:p>
      <w:r>
        <w:rPr>
          <w:color w:val="5A7D3A"/>
          <w:sz w:val="18"/>
        </w:rPr>
        <w:t>https://pubmed.ncbi.nlm.nih.gov/42891917/</w:t>
      </w:r>
    </w:p>
    <w:p>
      <w:pPr>
        <w:pStyle w:val="Heading2"/>
      </w:pPr>
      <w:r>
        <w:t>Metabolisches Syndrom in der Frühschwangerschaft verschärft Blutdruckveränderungen</w:t>
      </w:r>
    </w:p>
    <w:p>
      <w:r>
        <w:rPr>
          <w:i/>
          <w:color w:val="666666"/>
          <w:sz w:val="18"/>
        </w:rPr>
        <w:t>Mohebi A et al.  ·  Endocrine  ·  17.10.2026  ·  PMID 42891873</w:t>
      </w:r>
    </w:p>
    <w:p>
      <w:r>
        <w:t>Australische Studie an 264 Schwangeren vor 16 Wochen zur Prävalenz von metabolischem Syndrom (MetS) und dessen hämodynamischen Auswirkungen in sozioökonomisch belasteten Populationen.</w:t>
      </w:r>
    </w:p>
    <w:p>
      <w:r>
        <w:rPr>
          <w:b/>
        </w:rPr>
        <w:t xml:space="preserve">Ergebnis: </w:t>
      </w:r>
      <w:r>
        <w:t>MetS-Prävalenz: 15,1 %. Frauen mit MetS hatten signifikant höheren zentralen systolischen Blutdruck (cSBP), zentrale mittlere arterielle Drücke (cMAP) und Pulsrate. Nach Adjustierung für BMI und Mehrfachtestung blieben cSBP, cMAP und Pulsrate unabhängig mit MetS assoziiert (alle p &lt; 0,05). Adipositas trug zu diesen Veränderungen bei.</w:t>
      </w:r>
    </w:p>
    <w:p>
      <w:r>
        <w:rPr>
          <w:b/>
          <w:sz w:val="19"/>
        </w:rPr>
        <w:t xml:space="preserve">Übertragbarkeit: </w:t>
      </w:r>
      <w:r>
        <w:rPr>
          <w:sz w:val="19"/>
        </w:rPr>
        <w:t>Australien, aber internationale Geburtskohorte, systemische Evidenz für frühe Erkennung kardiometabolischer Risiken</w:t>
      </w:r>
    </w:p>
    <w:p>
      <w:r>
        <w:rPr>
          <w:color w:val="5A7D3A"/>
          <w:sz w:val="18"/>
        </w:rPr>
        <w:t>https://pubmed.ncbi.nlm.nih.gov/42891873/</w:t>
      </w:r>
    </w:p>
    <w:p>
      <w:pPr>
        <w:pStyle w:val="Heading1"/>
      </w:pPr>
      <w:r>
        <w:t>Aufgenommen am 20.10.2026</w:t>
      </w:r>
    </w:p>
    <w:p>
      <w:pPr>
        <w:pStyle w:val="Heading2"/>
      </w:pPr>
      <w:r>
        <w:t>Übergewicht und Adipositas bei Kindern erhöhen Ausgaben um 4–7 %</w:t>
      </w:r>
    </w:p>
    <w:p>
      <w:r>
        <w:rPr>
          <w:i/>
          <w:color w:val="666666"/>
          <w:sz w:val="18"/>
        </w:rPr>
        <w:t>Valdés N et al.  ·  J Glob Health  ·  19.10.2026  ·  PMID 42895256</w:t>
      </w:r>
    </w:p>
    <w:p>
      <w:r>
        <w:t>Analyse von 652.297 chilenischen Schulkindern mit Verknüpfung von Messdaten und Gesundheitsausgabenregistern zur Abschätzung jährlicher Mehrkosten.</w:t>
      </w:r>
    </w:p>
    <w:p>
      <w:r>
        <w:rPr>
          <w:b/>
        </w:rPr>
        <w:t xml:space="preserve">Ergebnis: </w:t>
      </w:r>
      <w:r>
        <w:t>Hohes BMI-für-Alter war mit 4,2–4,5 % höheren jährlichen Ausgaben assoziiert (justierte Modelle); Übergewicht allein mit 2,5 %, Adipositas mit 6,1–6,6 %. Ausgabenunterschiede waren bereits in früher Kindheit vorhanden.</w:t>
      </w:r>
    </w:p>
    <w:p>
      <w:r>
        <w:rPr>
          <w:b/>
          <w:sz w:val="19"/>
        </w:rPr>
        <w:t xml:space="preserve">Übertragbarkeit: </w:t>
      </w:r>
      <w:r>
        <w:rPr>
          <w:sz w:val="19"/>
        </w:rPr>
        <w:t>Südamerika, öffentlich-privates Versicherungssystem; Methode aber auf Deutschland übertragbar.</w:t>
      </w:r>
    </w:p>
    <w:p>
      <w:r>
        <w:rPr>
          <w:color w:val="5A7D3A"/>
          <w:sz w:val="18"/>
        </w:rPr>
        <w:t>https://pubmed.ncbi.nlm.nih.gov/42895256/</w:t>
      </w:r>
    </w:p>
    <w:p>
      <w:pPr>
        <w:pStyle w:val="Heading2"/>
      </w:pPr>
      <w:r>
        <w:t>GLP-1-Agonisten: gastrointestinale Symptome bei über 50 % nach 5 Jahren</w:t>
      </w:r>
    </w:p>
    <w:p>
      <w:r>
        <w:rPr>
          <w:i/>
          <w:color w:val="666666"/>
          <w:sz w:val="18"/>
        </w:rPr>
        <w:t>Cisneros JZ et al.  ·  Neurogastroenterol Motil  ·  Okt. 2026  ·  PMID 42894471</w:t>
      </w:r>
    </w:p>
    <w:p>
      <w:r>
        <w:t>Retrospektive Kohortenstudie an 78.277 Patienten unter GLP-1-Rezeptoragonisten mit Nachverfolgung über 60 Monate zur Häufigkeit gastrointestinaler Symptome (Übelkeit, Bauchschmerz, Diarrhö, Obstipation).</w:t>
      </w:r>
    </w:p>
    <w:p>
      <w:r>
        <w:rPr>
          <w:b/>
        </w:rPr>
        <w:t xml:space="preserve">Ergebnis: </w:t>
      </w:r>
      <w:r>
        <w:t>Bei 53 % trat mindestens ein gastrointestinales Symptomereignis auf; am häufigsten Bauchschmerz (28 %) und Übelkeit (25 %). Frauen hatten 1,4-fach höheres Risiko als Männer. Baseline-Symptome, weibliches Geschlecht und Metoclopramid erhöhten das Risiko (HR 1,6–2,2).</w:t>
      </w:r>
    </w:p>
    <w:p>
      <w:r>
        <w:rPr>
          <w:b/>
          <w:sz w:val="19"/>
        </w:rPr>
        <w:t xml:space="preserve">Übertragbarkeit: </w:t>
      </w:r>
      <w:r>
        <w:rPr>
          <w:sz w:val="19"/>
        </w:rPr>
        <w:t>USA, aber Nebenwirkungsprofil medikamentsspezifisch und nicht an Versicherungssystem gebunden.</w:t>
      </w:r>
    </w:p>
    <w:p>
      <w:r>
        <w:rPr>
          <w:color w:val="5A7D3A"/>
          <w:sz w:val="18"/>
        </w:rPr>
        <w:t>https://pubmed.ncbi.nlm.nih.gov/42894471/</w:t>
      </w:r>
    </w:p>
    <w:p>
      <w:pPr>
        <w:pStyle w:val="Heading2"/>
      </w:pPr>
      <w:r>
        <w:t>Präkonzeptionelle Lebensstiländerungen: Nutzen bei Übergewicht vor Schwangerschaft</w:t>
      </w:r>
    </w:p>
    <w:p>
      <w:r>
        <w:rPr>
          <w:i/>
          <w:color w:val="666666"/>
          <w:sz w:val="18"/>
        </w:rPr>
        <w:t>Mateusz S et al.  ·  Arch Gynecol Obstet  ·  22.07.2026  ·  PMID 42894025</w:t>
      </w:r>
    </w:p>
    <w:p>
      <w:r>
        <w:t>Strukturierte Übersichtsarbeit (13 Studien, 2019–2023) zu Outcomes nach konservativen Interventionen (Ernährung, Bewegung, Gewichtsverlust) vor Schwangerschaft.</w:t>
      </w:r>
    </w:p>
    <w:p>
      <w:r>
        <w:rPr>
          <w:b/>
        </w:rPr>
        <w:t xml:space="preserve">Ergebnis: </w:t>
      </w:r>
      <w:r>
        <w:t>Gewichtsverlust zeigte ausgewählte Fertilitätsgewinne und Reduktion rezidivierender Gestationsdiabetes; Effekte heterogen je nach Intervention und Gewichtsabnahme. Langzeitnutzen erforderte Verhaltenserhalt.</w:t>
      </w:r>
    </w:p>
    <w:p>
      <w:r>
        <w:rPr>
          <w:b/>
          <w:sz w:val="19"/>
        </w:rPr>
        <w:t xml:space="preserve">Übertragbarkeit: </w:t>
      </w:r>
      <w:r>
        <w:rPr>
          <w:sz w:val="19"/>
        </w:rPr>
        <w:t>Überwiegend außereuropäische Studien, aber Frage zur Vorbeugung ist systemunabhängig.</w:t>
      </w:r>
    </w:p>
    <w:p>
      <w:r>
        <w:rPr>
          <w:color w:val="5A7D3A"/>
          <w:sz w:val="18"/>
        </w:rPr>
        <w:t>https://pubmed.ncbi.nlm.nih.gov/42894025/</w:t>
      </w:r>
    </w:p>
    <w:p>
      <w:pPr>
        <w:pStyle w:val="Heading2"/>
      </w:pPr>
      <w:r>
        <w:t>Zuckerhaltige Getränke erhöhen abdominalem Adipositas um 20 % bei Kindern</w:t>
      </w:r>
    </w:p>
    <w:p>
      <w:r>
        <w:rPr>
          <w:i/>
          <w:color w:val="666666"/>
          <w:sz w:val="18"/>
        </w:rPr>
        <w:t>Yang Y et al.  ·  Zhonghua Yu Fang Yi Xue Za Zhi  ·  06.10.2026  ·  PMID 42893908</w:t>
      </w:r>
    </w:p>
    <w:p>
      <w:r>
        <w:t>Querschnittsstudie an 11.646 Schulkindern mit Beverages-Konsummuster-Analyse (Hauptkomponentenanalyse) und Assoziationen mit allgemeiner und abdominaler Adipositas.</w:t>
      </w:r>
    </w:p>
    <w:p>
      <w:r>
        <w:rPr>
          <w:b/>
        </w:rPr>
        <w:t xml:space="preserve">Ergebnis: </w:t>
      </w:r>
      <w:r>
        <w:t>Zuckerhaltiges Getränkemuster versus Milch-/Fruchtsaft: erhöhte OR für Gesamtadipsitas 1,154, abdominale Adipositas 1,195, Koexistenz beider 1,175 (alle p&lt;0,05 nach Benjamini-Hochberg-Korrektur). Assoziationen stärker bei Adoleszenten, Jungen und Stadtbewohnern.</w:t>
      </w:r>
    </w:p>
    <w:p>
      <w:r>
        <w:rPr>
          <w:b/>
          <w:sz w:val="19"/>
        </w:rPr>
        <w:t xml:space="preserve">Übertragbarkeit: </w:t>
      </w:r>
      <w:r>
        <w:rPr>
          <w:sz w:val="19"/>
        </w:rPr>
        <w:t>China; beverage-spezifisch aber auf Deutschland übertragbar (Prävention).</w:t>
      </w:r>
    </w:p>
    <w:p>
      <w:r>
        <w:rPr>
          <w:color w:val="5A7D3A"/>
          <w:sz w:val="18"/>
        </w:rPr>
        <w:t>https://pubmed.ncbi.nlm.nih.gov/42893908/</w:t>
      </w:r>
    </w:p>
    <w:p>
      <w:pPr>
        <w:pStyle w:val="Heading2"/>
      </w:pPr>
      <w:r>
        <w:t>Schwere Adipositas: körperliche Funktionsfähigkeit und Lebensqualität deutlich vermindert</w:t>
      </w:r>
    </w:p>
    <w:p>
      <w:r>
        <w:rPr>
          <w:i/>
          <w:color w:val="666666"/>
          <w:sz w:val="18"/>
        </w:rPr>
        <w:t>Macedo TSG et al.  ·  J Obes  ·  2026  ·  PMID 42891656</w:t>
      </w:r>
    </w:p>
    <w:p>
      <w:r>
        <w:t>Metaanalyse von 20 Querschnittsstudien zu Lebensqualität (hauptsächlich SF-36) bei Erwachsenen mit BMI ≥40 kg/m².</w:t>
      </w:r>
    </w:p>
    <w:p>
      <w:r>
        <w:rPr>
          <w:b/>
        </w:rPr>
        <w:t xml:space="preserve">Ergebnis: </w:t>
      </w:r>
      <w:r>
        <w:t>Erwachsene mit schwerer Adipositas zeigten konsistent niedrigere Scores in körperlichen Bereichen (physische Funktionsfähigkeit, Schmerz, allgemeine Gesundheit); in psychischen Bereichen Vitalität besonders reduziert. Hohe Heterogenität zwischen Studien.</w:t>
      </w:r>
    </w:p>
    <w:p>
      <w:r>
        <w:rPr>
          <w:b/>
          <w:sz w:val="19"/>
        </w:rPr>
        <w:t xml:space="preserve">Übertragbarkeit: </w:t>
      </w:r>
      <w:r>
        <w:rPr>
          <w:sz w:val="19"/>
        </w:rPr>
        <w:t>Internationale Studien, aber Erhebungsinstrumente (SF-36) kulturübergreifend validiert.</w:t>
      </w:r>
    </w:p>
    <w:p>
      <w:r>
        <w:rPr>
          <w:color w:val="5A7D3A"/>
          <w:sz w:val="18"/>
        </w:rPr>
        <w:t>https://pubmed.ncbi.nlm.nih.gov/42891656/</w:t>
      </w:r>
    </w:p>
    <w:p>
      <w:pPr>
        <w:pStyle w:val="Heading2"/>
      </w:pPr>
      <w:r>
        <w:t>Semaglutid zeigt tumorhemmende Effekte bei Phäochromozytom-Cluster-1, aber Tumor-Förderung bei MEN2</w:t>
      </w:r>
    </w:p>
    <w:p>
      <w:r>
        <w:rPr>
          <w:i/>
          <w:color w:val="666666"/>
          <w:sz w:val="18"/>
        </w:rPr>
        <w:t>Wang K et al.  ·  Endocr Relat Cancer  ·  01.10.2026  ·  PMID 42847129</w:t>
      </w:r>
    </w:p>
    <w:p>
      <w:r>
        <w:t>Funktionale Studien an 54 patienteneigenen Phäochromozytom/Paragangliom-Primärkulturen sowie klinische Korrelation bei 67 Patienten aus prospektiver Studie (PROSPHEO) zu Effekten von Semaglutid, Metformin und Insulin.</w:t>
      </w:r>
    </w:p>
    <w:p>
      <w:r>
        <w:rPr>
          <w:b/>
        </w:rPr>
        <w:t xml:space="preserve">Ergebnis: </w:t>
      </w:r>
      <w:r>
        <w:t>Cluster-abhängig: Semaglutid zeigte signifikante Tumorhemmung bei Cluster-1-Tumoren, aber tumorförderliche Effekte in drei Tumoren mit keimbahnmutiertem RET (MEN2-Syndrom). Metformin zeigte Tumorhemmung, Insulin tumorförderliche Effekte. Klinisch: größere Mediantumore unter Insulin als unter Metformin/GLP-1RA.</w:t>
      </w:r>
    </w:p>
    <w:p>
      <w:r>
        <w:rPr>
          <w:b/>
          <w:sz w:val="19"/>
        </w:rPr>
        <w:t xml:space="preserve">Übertragbarkeit: </w:t>
      </w:r>
      <w:r>
        <w:rPr>
          <w:sz w:val="19"/>
        </w:rPr>
        <w:t>Deutschland und Schweiz; Befund warnt vor unkritischem Einsatz bei MEN2-Patienten.</w:t>
      </w:r>
    </w:p>
    <w:p>
      <w:r>
        <w:rPr>
          <w:color w:val="5A7D3A"/>
          <w:sz w:val="18"/>
        </w:rPr>
        <w:t>https://pubmed.ncbi.nlm.nih.gov/42847129/</w:t>
      </w:r>
    </w:p>
    <w:p>
      <w:pPr>
        <w:pStyle w:val="Heading1"/>
      </w:pPr>
      <w:r>
        <w:t>Aufgenommen am 19.10.2026</w:t>
      </w:r>
    </w:p>
    <w:p>
      <w:pPr>
        <w:pStyle w:val="Heading2"/>
      </w:pPr>
      <w:r>
        <w:t>Adipositas erhöht Fehlgeburtsrisiko in der Fertilitätsbehandlung konsistent um 60 Prozent</w:t>
      </w:r>
    </w:p>
    <w:p>
      <w:r>
        <w:rPr>
          <w:i/>
          <w:color w:val="666666"/>
          <w:sz w:val="18"/>
        </w:rPr>
        <w:t>Wan X et al.  ·  J Ovarian Res  ·  09.10.2026  ·  PMID 42892695</w:t>
      </w:r>
    </w:p>
    <w:p>
      <w:r>
        <w:t>Retrospektive Kohorte mit 8.923 IVF-Zyklen (PCOS, Ovarielles Insuffizienzrisiko, Tubenfaktor) zu BMI, FSH und Reproduktionsergebnissen; Vermittlungsanalyse mit Mediationsanalyse.</w:t>
      </w:r>
    </w:p>
    <w:p>
      <w:r>
        <w:rPr>
          <w:b/>
        </w:rPr>
        <w:t xml:space="preserve">Ergebnis: </w:t>
      </w:r>
      <w:r>
        <w:t>Adipositas (BMI ≥30) assoziiert mit erhöhtem Fehlgeburtsrisiko konsistent über alle drei Infertilitäts-Etiologien: OR 1,60 (95% KI 1,02–2,53), p=0,041, Number Needed to Harm 19. Indirekte Assoziation mit Eizellzahl via FSH gering (5,3–8,2% mediiert) und mit breiten Konfidenzintervallen. Live-Birth-Analyse zu schwach powered (5,3% Kraft).</w:t>
      </w:r>
    </w:p>
    <w:p>
      <w:r>
        <w:rPr>
          <w:b/>
          <w:sz w:val="19"/>
        </w:rPr>
        <w:t xml:space="preserve">Übertragbarkeit: </w:t>
      </w:r>
      <w:r>
        <w:rPr>
          <w:sz w:val="19"/>
        </w:rPr>
        <w:t>Chinesische RMZ-Daten; Assoziationsfunde sind übertragbar, klinische Kausalität bleibt unklar</w:t>
      </w:r>
    </w:p>
    <w:p>
      <w:r>
        <w:rPr>
          <w:color w:val="5A7D3A"/>
          <w:sz w:val="18"/>
        </w:rPr>
        <w:t>https://pubmed.ncbi.nlm.nih.gov/42892695/</w:t>
      </w:r>
    </w:p>
    <w:p>
      <w:pPr>
        <w:pStyle w:val="Heading2"/>
      </w:pPr>
      <w:r>
        <w:t>Muskelmasse senkt Metabolisches-Syndrom-Risiko unabhängig von Adipositas</w:t>
      </w:r>
    </w:p>
    <w:p>
      <w:r>
        <w:rPr>
          <w:i/>
          <w:color w:val="666666"/>
          <w:sz w:val="18"/>
        </w:rPr>
        <w:t>Lee EY et al.  ·  Endocrine  ·  17.10.2026  ·  PMID 42891876</w:t>
      </w:r>
    </w:p>
    <w:p>
      <w:r>
        <w:t>Querschnittstudie (KNHANES 2024) mit 3.033 koreanischen Erwachsenen ≥40 Jahren: Assoziationen von DXA-Muskelmasse und Handgriffstärke mit metabolischem Syndrom, jeweils normalisiert nach Körpergewicht.</w:t>
      </w:r>
    </w:p>
    <w:p>
      <w:r>
        <w:rPr>
          <w:b/>
        </w:rPr>
        <w:t xml:space="preserve">Ergebnis: </w:t>
      </w:r>
      <w:r>
        <w:t>Appendikuläre Skeletmuskelmasse pro Körpergewicht (ASM/BW) invers assoziiert mit MetS: Männer OR 0,79 (95% KI 0,73–0,86), Frauen OR 0,86 (95% KI 0,80–0,92) pro SD-Anstieg; relative Handgriffstärke ebenfalls invers (Männer OR 0,98, Frauen OR 0,97). Höchstes MetS-Risiko mit niedriger Muskelmasse und Kraft kombiniert: OR 3,04 (Männer), OR 2,42 (Frauen).</w:t>
      </w:r>
    </w:p>
    <w:p>
      <w:r>
        <w:rPr>
          <w:b/>
          <w:sz w:val="19"/>
        </w:rPr>
        <w:t xml:space="preserve">Übertragbarkeit: </w:t>
      </w:r>
      <w:r>
        <w:rPr>
          <w:sz w:val="19"/>
        </w:rPr>
        <w:t>Nationale repräsentative Daten mit DXA; Normalisierungsmethoden sind zentral, bedürfen aber Validierung</w:t>
      </w:r>
    </w:p>
    <w:p>
      <w:r>
        <w:rPr>
          <w:color w:val="5A7D3A"/>
          <w:sz w:val="18"/>
        </w:rPr>
        <w:t>https://pubmed.ncbi.nlm.nih.gov/42891876/</w:t>
      </w:r>
    </w:p>
    <w:p>
      <w:pPr>
        <w:pStyle w:val="Heading2"/>
      </w:pPr>
      <w:r>
        <w:t>Schlafqualität senkt Depressionsrisiko bei Übergewicht um 53 Prozent</w:t>
      </w:r>
    </w:p>
    <w:p>
      <w:r>
        <w:rPr>
          <w:i/>
          <w:color w:val="666666"/>
          <w:sz w:val="18"/>
        </w:rPr>
        <w:t>Xu M et al.  ·  Epidemiol Psychiatr Sci  ·  13.10.2026  ·  PMID 42864938</w:t>
      </w:r>
    </w:p>
    <w:p>
      <w:r>
        <w:t>Prospektive Kohorte mit 91.380 Personen in Übergewicht (kein Diabetes), Follow-up 12,9 Jahre, Assoziationen von Schlafscores mit psychiatrischen Erkrankungsrisiken untersucht.</w:t>
      </w:r>
    </w:p>
    <w:p>
      <w:r>
        <w:rPr>
          <w:b/>
        </w:rPr>
        <w:t xml:space="preserve">Ergebnis: </w:t>
      </w:r>
      <w:r>
        <w:t>Bei bestem Schlaf (Gruppe 6) vs. schlechtestem (Gruppe 1): Hazard Ratio 0,47 (95% KI 0,33–0,67) für psychiatrische Störungen insgesamt; für ADHS HR 0,24 (95% KI 0,08–0,72). 16 Plasmaproteine zeigten partielle Mediatoreffekte. Das Schlafqualitäts-Proteomic-Profil könnte biologische Mechanismen erhellen, die Schlaf mit psychiatrischen Ergebnissen bei Übergewicht verbinden.</w:t>
      </w:r>
    </w:p>
    <w:p>
      <w:r>
        <w:rPr>
          <w:b/>
          <w:sz w:val="19"/>
        </w:rPr>
        <w:t xml:space="preserve">Übertragbarkeit: </w:t>
      </w:r>
      <w:r>
        <w:rPr>
          <w:sz w:val="19"/>
        </w:rPr>
        <w:t>UK-Biobank-Daten, direkt auf deutsches Bevölkerungsprofil übertragbar</w:t>
      </w:r>
    </w:p>
    <w:p>
      <w:r>
        <w:rPr>
          <w:color w:val="5A7D3A"/>
          <w:sz w:val="18"/>
        </w:rPr>
        <w:t>https://pubmed.ncbi.nlm.nih.gov/42864938/</w:t>
      </w:r>
    </w:p>
    <w:p>
      <w:pPr>
        <w:pStyle w:val="Heading2"/>
      </w:pPr>
      <w:r>
        <w:t>Herzinsuffizienz-assoziierte Kachexie: Proteinverlust über spezifische miRNA-Profile erkennbar</w:t>
      </w:r>
    </w:p>
    <w:p>
      <w:r>
        <w:rPr>
          <w:i/>
          <w:color w:val="666666"/>
          <w:sz w:val="18"/>
        </w:rPr>
        <w:t>Tambaro F et al.  ·  ESC Heart Fail  ·  27.08.2026  ·  PMID 42853063</w:t>
      </w:r>
    </w:p>
    <w:p>
      <w:r>
        <w:t>Fall-Kontroll-Studie mit 25 Herzinsuffizienz-Patienten und 10 Kontrollen zu miRNA- und Zytokin-Profilen bei Kachexie (≥6% Gewichtsverlust in 6 Monaten); Definition und mechanistische Assoziationen mit Funktionsparametern.</w:t>
      </w:r>
    </w:p>
    <w:p>
      <w:r>
        <w:rPr>
          <w:b/>
        </w:rPr>
        <w:t xml:space="preserve">Ergebnis: </w:t>
      </w:r>
      <w:r>
        <w:t>CHF-Patienten zeigten supprimierte miR-15b, miR-29b, miR-133a, miR-486 (alle p&lt;0,01) und erhöhte GDF-15 (p&lt;0,001). Bei Kachexie: FGF-21 erhöht (p=0,012), miR-29b erniedrigt (p=0,019). Inverse Korrelationen: FGF-21 mit miR-486 (ρ=−0,69, p=0,035), GDF-15 mit miR-21 (ρ=−0,81, p=0,007). MiRNA-Suppression und Stresszytokin-Erhöhung waren in Kachexie amplifiziiert.</w:t>
      </w:r>
    </w:p>
    <w:p>
      <w:r>
        <w:rPr>
          <w:b/>
          <w:sz w:val="19"/>
        </w:rPr>
        <w:t xml:space="preserve">Übertragbarkeit: </w:t>
      </w:r>
      <w:r>
        <w:rPr>
          <w:sz w:val="19"/>
        </w:rPr>
        <w:t>Italienische/Berliner Hospitaldaten, kleines N limitiert, mechanistische Biomarker bedürfen Validierung</w:t>
      </w:r>
    </w:p>
    <w:p>
      <w:r>
        <w:rPr>
          <w:color w:val="5A7D3A"/>
          <w:sz w:val="18"/>
        </w:rPr>
        <w:t>https://pubmed.ncbi.nlm.nih.gov/42853063/</w:t>
      </w:r>
    </w:p>
    <w:p>
      <w:pPr>
        <w:pStyle w:val="Heading2"/>
      </w:pPr>
      <w:r>
        <w:t>Organschäden erhöhen Depressionsrisiko bei Adipositas dreifach</w:t>
      </w:r>
    </w:p>
    <w:p>
      <w:r>
        <w:rPr>
          <w:i/>
          <w:color w:val="666666"/>
          <w:sz w:val="18"/>
        </w:rPr>
        <w:t>Lim Y  ·  Psychiatry Res  ·  29.08.2026  ·  PMID 42696940</w:t>
      </w:r>
    </w:p>
    <w:p>
      <w:r>
        <w:t>UK-Biobank-Analyse mit 404.146 Teilnehmenden zu Organschäden-Trajektorien (gemessen über Krankenhausaufzeichnungen) und incidenter Depression über 4+ Jahre, stratifiziert nach BMI und klinischer Adipositas.</w:t>
      </w:r>
    </w:p>
    <w:p>
      <w:r>
        <w:rPr>
          <w:b/>
        </w:rPr>
        <w:t xml:space="preserve">Ergebnis: </w:t>
      </w:r>
      <w:r>
        <w:t>Persistente Organschäden assoziiert mit höherem Depressionsrisiko über alle BMI-Kategorien: in normal-, über- und adipös Klassifizierten aHR 1,91–2,48. In klinischer Adipositas ohne bisherige Organschäden: aHR 2,38; in präklinischer Adipositas: aHR 2,30 (beide vs. persistente Freiheit von Organschäden). Klinische Adipositas-Definition zeigte bessere Risikostratifizierung als BMI allein.</w:t>
      </w:r>
    </w:p>
    <w:p>
      <w:r>
        <w:rPr>
          <w:b/>
          <w:sz w:val="19"/>
        </w:rPr>
        <w:t xml:space="preserve">Übertragbarkeit: </w:t>
      </w:r>
      <w:r>
        <w:rPr>
          <w:sz w:val="19"/>
        </w:rPr>
        <w:t>UK-Biobank, Organschäden-Definition und Depressionserfassung auf Deutschland übertragbar</w:t>
      </w:r>
    </w:p>
    <w:p>
      <w:r>
        <w:rPr>
          <w:color w:val="5A7D3A"/>
          <w:sz w:val="18"/>
        </w:rPr>
        <w:t>https://pubmed.ncbi.nlm.nih.gov/42696940/</w:t>
      </w:r>
    </w:p>
    <w:p>
      <w:pPr>
        <w:pStyle w:val="Heading2"/>
      </w:pPr>
      <w:r>
        <w:t>EKG-Kriterien übersehen LVH bei Frauen und Übergewichtigen zu 80 Prozent</w:t>
      </w:r>
    </w:p>
    <w:p>
      <w:r>
        <w:rPr>
          <w:i/>
          <w:color w:val="666666"/>
          <w:sz w:val="18"/>
        </w:rPr>
        <w:t>Johansen AO et al.  ·  Int J Cardiol  ·  01.12.2026  ·  PMID 42674294</w:t>
      </w:r>
    </w:p>
    <w:p>
      <w:r>
        <w:t>Querschnittstudie (Kopenhagener Allgemeinbevölkerung, n=9.392) zu Sensitivität/Spezifität von ESC-EKG-Kriterien für LVH gegen Kardio-CT-Gold-Standard, stratifiziert nach Geschlecht und Übergewicht; Rekalibrierung der Schwellwerte.</w:t>
      </w:r>
    </w:p>
    <w:p>
      <w:r>
        <w:rPr>
          <w:b/>
        </w:rPr>
        <w:t xml:space="preserve">Ergebnis: </w:t>
      </w:r>
      <w:r>
        <w:t>Baseline-EKG-Kriterien: Sensitivität insgesamt 20%, Spezifität 96%; Sensitivität deutlich niedriger in Frauen vs. Männern (15% vs. 26%, p&lt;0,001) und Übergewicht vs. Normalgewicht (16% vs. 23%, p=0,005). Rekalibrierte Schwellwerte in Validierungskohorte: Sensitivität 36%, Spezifität 91%, mit konsistenter Sensitivität/Spezifität über Subgruppen. Neue Kriterien fördern diagnostische Gerechtigkeit über Geschlecht und BMI.</w:t>
      </w:r>
    </w:p>
    <w:p>
      <w:r>
        <w:rPr>
          <w:b/>
          <w:sz w:val="19"/>
        </w:rPr>
        <w:t xml:space="preserve">Übertragbarkeit: </w:t>
      </w:r>
      <w:r>
        <w:rPr>
          <w:sz w:val="19"/>
        </w:rPr>
        <w:t>Dänische Allgemeinbevölkerung, kardiale Bildgebung und Kriterien europäisch übertragbar</w:t>
      </w:r>
    </w:p>
    <w:p>
      <w:r>
        <w:rPr>
          <w:color w:val="5A7D3A"/>
          <w:sz w:val="18"/>
        </w:rPr>
        <w:t>https://pubmed.ncbi.nlm.nih.gov/42674294/</w:t>
      </w:r>
    </w:p>
    <w:p>
      <w:pPr>
        <w:pStyle w:val="Heading1"/>
      </w:pPr>
      <w:r>
        <w:t>Aufgenommen am 18.10.2026</w:t>
      </w:r>
    </w:p>
    <w:p>
      <w:pPr>
        <w:pStyle w:val="Heading2"/>
      </w:pPr>
      <w:r>
        <w:t>Lebenslange Kosten der Kinderadipositasfolgen: Modellierung für Kasachstan zeigt 194 Mrd. KZT nationale Belastung</w:t>
      </w:r>
    </w:p>
    <w:p>
      <w:r>
        <w:rPr>
          <w:i/>
          <w:color w:val="666666"/>
          <w:sz w:val="18"/>
        </w:rPr>
        <w:t>Koichubekov B et al.  ·  Front Public Health  ·  02.10.2026  ·  PMID 42890163</w:t>
      </w:r>
    </w:p>
    <w:p>
      <w:r>
        <w:t>Dynamisches Markov-Modell schätzte lebenslange direkte medizinische Kosten der Adipositas bei Kindern (5–9 Jahre) in Kasachstan; Szenarioanalyse testete Auswirkungen einer 5- und 10%-igen Prävalenzreduktion.</w:t>
      </w:r>
    </w:p>
    <w:p>
      <w:r>
        <w:rPr>
          <w:b/>
        </w:rPr>
        <w:t xml:space="preserve">Ergebnis: </w:t>
      </w:r>
      <w:r>
        <w:t>Durchschnittliche lebenslange Kosten pro Kind: 96.996,26 KZT (USD 206,37); nationale Gesamtbelastung für 2024er Kohorte: 194 Mrd. KZT (USD 413 Mio.); kumulativ 2024–2035: 128,72 Mrd. KZT mit 71% durch Adipositas. Eine 5%-ige Prävalenzreduktion würde die lebenslange Belastung um 4,8%, eine 10%-ige Reduktion um 9,4% senken. Modellierungsstudie; Übertragbarkeit auf Deutschland begrenzt durch andere Kostenstrukturen und Gesundheitssystem.</w:t>
      </w:r>
    </w:p>
    <w:p>
      <w:r>
        <w:rPr>
          <w:b/>
          <w:sz w:val="19"/>
        </w:rPr>
        <w:t xml:space="preserve">Übertragbarkeit: </w:t>
      </w:r>
      <w:r>
        <w:rPr>
          <w:sz w:val="19"/>
        </w:rPr>
        <w:t>Kasachstan, strukturell anderes Gesundheitssystem; methodisches Vorbild für Kostenschätzung</w:t>
      </w:r>
    </w:p>
    <w:p>
      <w:r>
        <w:rPr>
          <w:color w:val="5A7D3A"/>
          <w:sz w:val="18"/>
        </w:rPr>
        <w:t>https://pubmed.ncbi.nlm.nih.gov/42890163/</w:t>
      </w:r>
    </w:p>
    <w:p>
      <w:pPr>
        <w:pStyle w:val="Heading2"/>
      </w:pPr>
      <w:r>
        <w:t>Partizipative Prävention in Portugal: Schulen und Gemeinden definieren Adipositasrisiken und Lösungen</w:t>
      </w:r>
    </w:p>
    <w:p>
      <w:r>
        <w:rPr>
          <w:i/>
          <w:color w:val="666666"/>
          <w:sz w:val="18"/>
        </w:rPr>
        <w:t>Gaspar T et al.  ·  Front Public Health  ·  01.10.2026  ·  PMID 42889270</w:t>
      </w:r>
    </w:p>
    <w:p>
      <w:r>
        <w:t>Mehrmethodische Aktionsforschung in zwei portugiesischen Regionen (ländlich, urban); Befragung von 202 Schulkindern (7,4 Jahre) und 54 Erwachsenen; Fokusgruppen mit lokalen Stakeholdern zu Gesundheitsförderung und Adipositasprävention.</w:t>
      </w:r>
    </w:p>
    <w:p>
      <w:r>
        <w:rPr>
          <w:b/>
        </w:rPr>
        <w:t xml:space="preserve">Ergebnis: </w:t>
      </w:r>
      <w:r>
        <w:t>57% der Schüler berichteten Reizbarkeit/schlechte Laune, 46,7% Nervosität; 66% hatten altersberechtigt normales BMI, aber 36% trieben keine regelmäßige körperliche Aktivität; hohes Bildschirmmediennutzung und Gewaltexposition in der Freizeit. Fokusgruppen nannten Prioritäten: Bewegung, Schulverpflegung, Koordination Schule-Familie-Gemeinde; kommunale Unterschiede bei Wahrnehmung von Schulessen, Sicherheit und Servicezugang bestanden fort.</w:t>
      </w:r>
    </w:p>
    <w:p>
      <w:r>
        <w:rPr>
          <w:b/>
          <w:sz w:val="19"/>
        </w:rPr>
        <w:t xml:space="preserve">Übertragbarkeit: </w:t>
      </w:r>
      <w:r>
        <w:rPr>
          <w:sz w:val="19"/>
        </w:rPr>
        <w:t>Portugal, vergleichbares EU-Gesundheitssystem; transferierbar für partizipative Prävention</w:t>
      </w:r>
    </w:p>
    <w:p>
      <w:r>
        <w:rPr>
          <w:color w:val="5A7D3A"/>
          <w:sz w:val="18"/>
        </w:rPr>
        <w:t>https://pubmed.ncbi.nlm.nih.gov/42889270/</w:t>
      </w:r>
    </w:p>
    <w:p>
      <w:pPr>
        <w:pStyle w:val="Heading2"/>
      </w:pPr>
      <w:r>
        <w:t>Regionale Unterschiede im Übergewicht bei saudi-arabischen Studierenden: Riad 4,6-fach höher als Makkah</w:t>
      </w:r>
    </w:p>
    <w:p>
      <w:r>
        <w:rPr>
          <w:i/>
          <w:color w:val="666666"/>
          <w:sz w:val="18"/>
        </w:rPr>
        <w:t>Alkhraiji MH et al.  ·  Front Public Health  ·  01.10.2026  ·  PMID 42889239</w:t>
      </w:r>
    </w:p>
    <w:p>
      <w:r>
        <w:t>Querschnittstudie (März–Mai 2023) mit 564 Studierenden aus vier saudi-arabischen Regionen; Erfassung von BMI, Bewegung (IPAQ-SF), Bildschirmzeit und Ernährung; Analyse regionaler Unterschiede und assoziierter Faktoren.</w:t>
      </w:r>
    </w:p>
    <w:p>
      <w:r>
        <w:rPr>
          <w:b/>
        </w:rPr>
        <w:t xml:space="preserve">Ergebnis: </w:t>
      </w:r>
      <w:r>
        <w:t>Übergewicht/Adipositasprävalenz 17,9% (konservative Unterschätzung durch Selbstangaben); markanter regionaler Gradient: Riad 27,8% vs. Makkah 8,8% (χ² = 25,48; p &lt; 0,001). Nach Adjustment war Region der stärkste Prädiktor (aOR Riad 4,62; 95% CI 2,23–9,59; p &lt; 0,001); männliches Geschlecht aOR 1,96 (p = 0,037). 82,3% der Studierenden zeigten moderate bis hohe Sitzbewegung (≥8 h/Tag); durchschnittliche Bildschirmnutzung 3,75 h/Tag.</w:t>
      </w:r>
    </w:p>
    <w:p>
      <w:r>
        <w:rPr>
          <w:b/>
          <w:sz w:val="19"/>
        </w:rPr>
        <w:t xml:space="preserve">Übertragbarkeit: </w:t>
      </w:r>
      <w:r>
        <w:rPr>
          <w:sz w:val="19"/>
        </w:rPr>
        <w:t>Saudi-Arabien, andere Versorgungsstruktur; zeigt Umweltfaktoren und regionale Ungleichheit auf</w:t>
      </w:r>
    </w:p>
    <w:p>
      <w:r>
        <w:rPr>
          <w:color w:val="5A7D3A"/>
          <w:sz w:val="18"/>
        </w:rPr>
        <w:t>https://pubmed.ncbi.nlm.nih.gov/42889239/</w:t>
      </w:r>
    </w:p>
    <w:p>
      <w:pPr>
        <w:pStyle w:val="Heading2"/>
      </w:pPr>
      <w:r>
        <w:t>MASLD in Kardio-Nieren-Metabolik-Staging reduziert Sterberisiko-Unterschätzung um bis zu 10% in Stufe 3</w:t>
      </w:r>
    </w:p>
    <w:p>
      <w:r>
        <w:rPr>
          <w:i/>
          <w:color w:val="666666"/>
          <w:sz w:val="18"/>
        </w:rPr>
        <w:t>Mostafa AM et al.  ·  Med Sci Monit  ·  17.10.2026  ·  PMID 42888835</w:t>
      </w:r>
    </w:p>
    <w:p>
      <w:r>
        <w:t>Sekundäranalyse NHANES III: 10.335 Erwachsene (20–74 Jahre) mit Mortalitäts-Follow-up bis 2019; Integration von MASLD in das CKM-Staging-Framework (ursprünglich kardiovaskulär-renal-metabolisch) zur Verbesserung der Mortalitätsstratifizierung.</w:t>
      </w:r>
    </w:p>
    <w:p>
      <w:r>
        <w:rPr>
          <w:b/>
        </w:rPr>
        <w:t xml:space="preserve">Ergebnis: </w:t>
      </w:r>
      <w:r>
        <w:t>Modifiziertes CKM-Staging zeigte überlegene Risikostratifizierung gegenüber Original-CKM, besonders in Stufe 3. Hazard Ratios für Gesamtmortalität: modifiziert 3,84 (95% CI 3,38–4,37) vs. Original 3,49 (95% CI 3,07–3,95); für kardiovaskuläre Mortalität: 6,38 (4,80–8,48) vs. 5,41 (4,12–7,12). Integration der Leber in das Kardio-Nieren-Metabolik-Achsenkonzept zeigte inkrementelle prognostische Verbesserung.</w:t>
      </w:r>
    </w:p>
    <w:p>
      <w:r>
        <w:rPr>
          <w:b/>
          <w:sz w:val="19"/>
        </w:rPr>
        <w:t xml:space="preserve">Übertragbarkeit: </w:t>
      </w:r>
      <w:r>
        <w:rPr>
          <w:sz w:val="19"/>
        </w:rPr>
        <w:t>USA-Daten (NHANES), aber Konzept der Mehrorgan-Stratifizierung auf europäische Versorgung übertragbar</w:t>
      </w:r>
    </w:p>
    <w:p>
      <w:r>
        <w:rPr>
          <w:color w:val="5A7D3A"/>
          <w:sz w:val="18"/>
        </w:rPr>
        <w:t>https://pubmed.ncbi.nlm.nih.gov/42888835/</w:t>
      </w:r>
    </w:p>
    <w:p>
      <w:pPr>
        <w:pStyle w:val="Heading2"/>
      </w:pPr>
      <w:r>
        <w:t>Nierenvolumen bezogen auf BMI verbessert Vorhersage der Transplantatfunktion im ersten Jahr</w:t>
      </w:r>
    </w:p>
    <w:p>
      <w:r>
        <w:rPr>
          <w:i/>
          <w:color w:val="666666"/>
          <w:sz w:val="18"/>
        </w:rPr>
        <w:t>Gianassi I et al.  ·  Clin Transplant  ·  Okt. 2026  ·  PMID 42886738</w:t>
      </w:r>
    </w:p>
    <w:p>
      <w:r>
        <w:t>Prospektive Einklinik-Studie: Ultraschallvolumung des Transplantats 1 Monat posttransplantation; Analyse, ob Differential-Nierenvolumen (DRV) indexiert zu Empfänger-BMI die eGFR nach einem Jahr voraussagt.</w:t>
      </w:r>
    </w:p>
    <w:p>
      <w:r>
        <w:rPr>
          <w:b/>
        </w:rPr>
        <w:t xml:space="preserve">Ergebnis: </w:t>
      </w:r>
      <w:r>
        <w:t>Nierenvolumparameter waren signifikant mit eGFR nach einem Jahr assoziiert; stärkere Assoziationen nach BMI-Normalisierung. DRV/BMI-Ratio zeigte stärkste Korrelation mit eGFR und blieb nach Adjustment unabhängig assoziiert. ROC-Analyse ergab AUC 0,774 für erhaltene Transplantatfunktion (Schwellenwert bedarf jedoch externe Validierung).</w:t>
      </w:r>
    </w:p>
    <w:p>
      <w:r>
        <w:rPr>
          <w:b/>
          <w:sz w:val="19"/>
        </w:rPr>
        <w:t xml:space="preserve">Übertragbarkeit: </w:t>
      </w:r>
      <w:r>
        <w:rPr>
          <w:sz w:val="19"/>
        </w:rPr>
        <w:t>Italien, strukturierte Transplantationsdokumentation; einfaches Screening-Werkzeug übertragbar</w:t>
      </w:r>
    </w:p>
    <w:p>
      <w:r>
        <w:rPr>
          <w:color w:val="5A7D3A"/>
          <w:sz w:val="18"/>
        </w:rPr>
        <w:t>https://pubmed.ncbi.nlm.nih.gov/42886738/</w:t>
      </w:r>
    </w:p>
    <w:p>
      <w:pPr>
        <w:pStyle w:val="Heading2"/>
      </w:pPr>
      <w:r>
        <w:t>Mikronährstoffverlauf nach Adipositaschirurgie: Kalzium sinkt, Nebenschilddrüse steigt über 10 Jahre</w:t>
      </w:r>
    </w:p>
    <w:p>
      <w:r>
        <w:rPr>
          <w:i/>
          <w:color w:val="666666"/>
          <w:sz w:val="18"/>
        </w:rPr>
        <w:t>Mitchell S et al.  ·  Nutrients  ·  03.10.2026  ·  PMID 42884716</w:t>
      </w:r>
    </w:p>
    <w:p>
      <w:r>
        <w:t>Einzentrum-Kohortenstudie (NHS Lothian, 2011–2025) mit 426 Patienten nach Sleeve (SG, 55,2%) oder Bypass (RYGB, 41,1%); 25 biochemische Marker über 10 Jahre erfasst; lineare mixed-effects Modelle mit Benjamini-Hochberg-Korrektur.</w:t>
      </w:r>
    </w:p>
    <w:p>
      <w:r>
        <w:rPr>
          <w:b/>
        </w:rPr>
        <w:t xml:space="preserve">Ergebnis: </w:t>
      </w:r>
      <w:r>
        <w:t>Mediane Gewichtsabnahme 21,6%, Exzessgewichtsverlust 49,2%. Kalzium fiel (p &lt; 0,001), PTH stieg (+0,22 pmol/L/Jahr; 95% CI 0,11–0,33; p &lt; 0,001) trotz Vitamin-D-Anstieg (+1,20 nmol/L/Jahr; p &lt; 0,001); erhöhte PTH in ~33% persistierend. Hämoglobin sank (-0,32 g/L/Jahr; p = 0,026), Unterversorgung von 26,3% auf 38,5%. B-Vitamine stiegen (p &lt; 0,001), Thiamin nicht; Selen, Zink fielen (p &lt; 0,05); Albumin sank (p &lt; 0,001). PTH-Anstieg steiler bei PPI-Gebrauch (p = 0,002) und BMI ≥50 kg/m² (p = 0,003).</w:t>
      </w:r>
    </w:p>
    <w:p>
      <w:r>
        <w:rPr>
          <w:b/>
          <w:sz w:val="19"/>
        </w:rPr>
        <w:t xml:space="preserve">Übertragbarkeit: </w:t>
      </w:r>
      <w:r>
        <w:rPr>
          <w:sz w:val="19"/>
        </w:rPr>
        <w:t>Schottland (UK), strukturierter Chirurgie-Service mit hoher Supplement-Compliance; Muster übertragbar</w:t>
      </w:r>
    </w:p>
    <w:p>
      <w:r>
        <w:rPr>
          <w:color w:val="5A7D3A"/>
          <w:sz w:val="18"/>
        </w:rPr>
        <w:t>https://pubmed.ncbi.nlm.nih.gov/42884716/</w:t>
      </w:r>
    </w:p>
    <w:p>
      <w:pPr>
        <w:pStyle w:val="Heading1"/>
      </w:pPr>
      <w:r>
        <w:t>Aufgenommen am 17.10.2026</w:t>
      </w:r>
    </w:p>
    <w:p>
      <w:pPr>
        <w:pStyle w:val="Heading2"/>
      </w:pPr>
      <w:r>
        <w:t>Körperliche Inaktivität und langes Sitzen erhöhen Sterblichkeitsrisiko bei kardiovaskulär-metabolischem Syndrom deutlich</w:t>
      </w:r>
    </w:p>
    <w:p>
      <w:r>
        <w:rPr>
          <w:i/>
          <w:color w:val="666666"/>
          <w:sz w:val="18"/>
        </w:rPr>
        <w:t>Huang Y et al.  ·  Clin Exp Med  ·  24.07.2026  ·  PMID 42886390</w:t>
      </w:r>
    </w:p>
    <w:p>
      <w:r>
        <w:t>Prospektive Kohortenstudie aus der US-amerikanischen NHANES-Datenbank (2007–2018) mit über 400.000 Teilnehmern; Untersuchung der unabhängigen und kombinierten Assoziationen von Freizeit-Bewegung und Sitzdauer mit Gesamt- und kardiovaskulärer Sterblichkeit bei Personen mit fortgeschrittenem kardiovaskulär-metabolischem Syndrom (CKM).</w:t>
      </w:r>
    </w:p>
    <w:p>
      <w:r>
        <w:rPr>
          <w:b/>
        </w:rPr>
        <w:t xml:space="preserve">Ergebnis: </w:t>
      </w:r>
      <w:r>
        <w:t>Körperliche Inaktivität war mit erhöhtem Risiko für Gesamtsterblichkeit (HR=2,43, 95%-KI: 1,98–2,97) und kardiovaskuläre Sterblichkeit (HR=2,62, 95%-KI: 1,79–3,82) assoziiert. Sitzdauer &gt;8 h/Tag gegenüber &lt;4 h/Tag zeigte erhöhte Risiken (Gesamtsterblichkeit: HR=1,71; kardiovaskulär: HR=2,12). Die höchsten Risiken traten bei Kombination von Inaktivität + ≥6 h/Tag Sitzen auf (Gesamtsterblichkeit: HR=2,77; kardiovaskulär: HR=3,39). Diese Studie unterstreicht den Überlebensvorteil durch gesteigerte körperliche Aktivität und reduzierte Sedentarität in dieser Hochrisikopopulation.</w:t>
      </w:r>
    </w:p>
    <w:p>
      <w:r>
        <w:rPr>
          <w:b/>
          <w:sz w:val="19"/>
        </w:rPr>
        <w:t xml:space="preserve">Übertragbarkeit: </w:t>
      </w:r>
      <w:r>
        <w:rPr>
          <w:sz w:val="19"/>
        </w:rPr>
        <w:t>USA-Daten, Bewegungsförderung als universelle Intervention unabhängig von Finanzierungssystem</w:t>
      </w:r>
    </w:p>
    <w:p>
      <w:r>
        <w:rPr>
          <w:color w:val="5A7D3A"/>
          <w:sz w:val="18"/>
        </w:rPr>
        <w:t>https://pubmed.ncbi.nlm.nih.gov/42886390/</w:t>
      </w:r>
    </w:p>
    <w:p>
      <w:pPr>
        <w:pStyle w:val="Heading2"/>
      </w:pPr>
      <w:r>
        <w:t>Bildschirmzeit begünstigt Adipositas bei Kindern und Jugendlichen mit geschlechtsspezifischen Mechanismen</w:t>
      </w:r>
    </w:p>
    <w:p>
      <w:r>
        <w:rPr>
          <w:i/>
          <w:color w:val="666666"/>
          <w:sz w:val="18"/>
        </w:rPr>
        <w:t>Min J et al.  ·  Prev Chronic Dis  ·  15.10.2026  ·  PMID 42886217</w:t>
      </w:r>
    </w:p>
    <w:p>
      <w:r>
        <w:t>Systematische Überprüfung von 22 Studien zur Assoziation zwischen Bildschirmzeit und Adipositäsergebnissen bei Kindern, Adoleszenten und jungen Erwachsenen; Meta-analytische Synthese mit Fokus auf geschlechtsspezifische Unterschiede in verhaltensabhängigen und physiologischen Pfaden.</w:t>
      </w:r>
    </w:p>
    <w:p>
      <w:r>
        <w:rPr>
          <w:b/>
        </w:rPr>
        <w:t xml:space="preserve">Ergebnis: </w:t>
      </w:r>
      <w:r>
        <w:t>18 der 22 Studien berichteten eine signifikante positive Assoziation zwischen Bildschirmzeit und Adipositas-bezogenen Ergebnissen. Bei Mädchen waren Assoziationen häufiger mit Adipositas, metabolisch ungesund adipös und psychologischen Faktoren (Körperbildsorgen) verknüpft; bei Jungen mit verhaltensbezogenen Faktoren (erhöhte Kalorienaufnahme, nächtliches Bildschirmnutzung, reduzierter Schlaf). Prävention sollte die zugrunde liegenden Mechanismen adressieren: körperliche Aktivität bei Mädchen, Problembewusstsein bei Jungen. Diese Erkenntnisse zeigen, dass simple Bildschirmzeitreduktion nicht ausreicht.</w:t>
      </w:r>
    </w:p>
    <w:p>
      <w:r>
        <w:rPr>
          <w:b/>
          <w:sz w:val="19"/>
        </w:rPr>
        <w:t xml:space="preserve">Übertragbarkeit: </w:t>
      </w:r>
      <w:r>
        <w:rPr>
          <w:sz w:val="19"/>
        </w:rPr>
        <w:t>Internationale Evidenz, universelle Verhältnisprävention, geschlechtsspezifische Anpassung</w:t>
      </w:r>
    </w:p>
    <w:p>
      <w:r>
        <w:rPr>
          <w:color w:val="5A7D3A"/>
          <w:sz w:val="18"/>
        </w:rPr>
        <w:t>https://pubmed.ncbi.nlm.nih.gov/42886217/</w:t>
      </w:r>
    </w:p>
    <w:p>
      <w:pPr>
        <w:pStyle w:val="Heading2"/>
      </w:pPr>
      <w:r>
        <w:t>Schlafstörungen und Übergewicht verknüpft mit sozialen und strukturellen Faktoren bei jungen Erwachsenen</w:t>
      </w:r>
    </w:p>
    <w:p>
      <w:r>
        <w:rPr>
          <w:i/>
          <w:color w:val="666666"/>
          <w:sz w:val="18"/>
        </w:rPr>
        <w:t>Moonajilin MS et al.  ·  Health Expect  ·  Okt. 2026  ·  PMID 42886171</w:t>
      </w:r>
    </w:p>
    <w:p>
      <w:r>
        <w:t>Qualitative Studie mit 26 jungen Erwachsenen (18–25 Jahre) in Dhaka, Bangladesch; semi-strukturierte Interviews mit inhaltsanalytischem Schwerpunkt auf die Verknüpfung von Schlafmangel, Ernährung und Körpergewicht im Kontext struktureller und soziokultureller Bedingungen.</w:t>
      </w:r>
    </w:p>
    <w:p>
      <w:r>
        <w:rPr>
          <w:b/>
        </w:rPr>
        <w:t xml:space="preserve">Ergebnis: </w:t>
      </w:r>
      <w:r>
        <w:t>Fünf zentrale Themen wurden identifiziert: (1) strukturelle und umweltbedingte Schlafstörungen, (2) digitale Nachtkultur und sozial verstärkte Wachheit, (3) Produktivität statt Schlaf als Priorität, (4) ungleiche Lasten durch Hausarbeit und Pflege, (5) wahrgenommene Verbindung zwischen unregelmäßigem Schlaf, Müdigkeit und Essverhalten. Schlaf- und Essgewohnheiten waren eingebettet in soziale, institutionelle und kulturelle Kontexte; Interventionen sollten Peer- und Familienpraktiken sowie Umweltfaktoren adressieren.</w:t>
      </w:r>
    </w:p>
    <w:p>
      <w:r>
        <w:rPr>
          <w:b/>
          <w:sz w:val="19"/>
        </w:rPr>
        <w:t xml:space="preserve">Übertragbarkeit: </w:t>
      </w:r>
      <w:r>
        <w:rPr>
          <w:sz w:val="19"/>
        </w:rPr>
        <w:t>Asiatischer Kontext mit soziostrukturellen Besonderheiten, qualitativ-explorativ</w:t>
      </w:r>
    </w:p>
    <w:p>
      <w:r>
        <w:rPr>
          <w:color w:val="5A7D3A"/>
          <w:sz w:val="18"/>
        </w:rPr>
        <w:t>https://pubmed.ncbi.nlm.nih.gov/42886171/</w:t>
      </w:r>
    </w:p>
    <w:p>
      <w:pPr>
        <w:pStyle w:val="Heading2"/>
      </w:pPr>
      <w:r>
        <w:t>Multidisziplinäres Adipositasprogramm verbesserte Patientenzufriedenheit und Lebensqualität</w:t>
      </w:r>
    </w:p>
    <w:p>
      <w:r>
        <w:rPr>
          <w:i/>
          <w:color w:val="666666"/>
          <w:sz w:val="18"/>
        </w:rPr>
        <w:t>Zugasti Murillo A et al.  ·  An Sist Sanit Navar  ·  16.10.2026  ·  PMID 42885860</w:t>
      </w:r>
    </w:p>
    <w:p>
      <w:r>
        <w:t>Evaluation eines 12-monatigen multidisziplinären Adipositasbehandlungsprogramms in Navarra (Spanien) mit 14–13 Patienten, die Patientenberichtete Ergebnisse (PROM) und Erfahrungen (PREM) beantworteten.</w:t>
      </w:r>
    </w:p>
    <w:p>
      <w:r>
        <w:rPr>
          <w:b/>
        </w:rPr>
        <w:t xml:space="preserve">Ergebnis: </w:t>
      </w:r>
      <w:r>
        <w:t>Alle drei PROM-Bereiche zeigten einen medianen Score von 3,50 (Skala 1–4). Bei den PREMs erreichte die Partizipation in Entscheidungsfindung den höchsten Median (5,00; IQR: 4,33–5,00), während Zugang und Organisation den niedrigsten Wert aufwiesen (4,00; IQR: 3,67–4,33). Die Ergebnisse zeigen Stärken und Verbesserungsbereiche im Versorgungsmodell; validierte Instrumente und längerfristige Verlaufsuntersuchungen sind erforderlich.</w:t>
      </w:r>
    </w:p>
    <w:p>
      <w:r>
        <w:rPr>
          <w:b/>
          <w:sz w:val="19"/>
        </w:rPr>
        <w:t xml:space="preserve">Übertragbarkeit: </w:t>
      </w:r>
      <w:r>
        <w:rPr>
          <w:sz w:val="19"/>
        </w:rPr>
        <w:t>Südeuropa mit vergleichbarem Sozialversicherungssystem, strukturiertes Programm-Setting</w:t>
      </w:r>
    </w:p>
    <w:p>
      <w:r>
        <w:rPr>
          <w:color w:val="5A7D3A"/>
          <w:sz w:val="18"/>
        </w:rPr>
        <w:t>https://pubmed.ncbi.nlm.nih.gov/42885860/</w:t>
      </w:r>
    </w:p>
    <w:p>
      <w:pPr>
        <w:pStyle w:val="Heading2"/>
      </w:pPr>
      <w:r>
        <w:t>Multidomain Lebensstiländerung senkte Körpergewicht bei älteren Erwachsenen nicht</w:t>
      </w:r>
    </w:p>
    <w:p>
      <w:r>
        <w:rPr>
          <w:i/>
          <w:color w:val="666666"/>
          <w:sz w:val="18"/>
        </w:rPr>
        <w:t>Zülke AE et al.  ·  BMC Geriatr  ·  15.10.2026  ·  PMID 42881367</w:t>
      </w:r>
    </w:p>
    <w:p>
      <w:r>
        <w:t>Post-hoc-Analyse der deutschen AgeWell.de-Studie mit 678 älteren Erwachsenen (60–77 Jahre, BMI ≥25), die 24 Monate eine multidimensionale Intervention (Ernährungsberatung, körperliche und kognitive Aktivität, kardiovaskuläre Risikofaktoren, psychische Gesundheit) oder Kontrolle erhielten.</w:t>
      </w:r>
    </w:p>
    <w:p>
      <w:r>
        <w:rPr>
          <w:b/>
        </w:rPr>
        <w:t xml:space="preserve">Ergebnis: </w:t>
      </w:r>
      <w:r>
        <w:t>Die Intervention war nicht mit einer Gewichtsabnahme nach 24 Monaten assoziiert (b=−0,30, 95%-KI: −0,51–1,11). Trotz hoher Motivation und Veränderungen in Ernährung und körperlicher Aktivität bei der Interventionsgruppe zeigten sich keine messbaren Gewichtsverluste. Dies deutet darauf hin, dass Verhaltensprogramme allein in dieser Altersgruppe ohne intensive pharmakologische Unterstützung nicht ausreichen.</w:t>
      </w:r>
    </w:p>
    <w:p>
      <w:r>
        <w:rPr>
          <w:b/>
          <w:sz w:val="19"/>
        </w:rPr>
        <w:t xml:space="preserve">Übertragbarkeit: </w:t>
      </w:r>
      <w:r>
        <w:rPr>
          <w:sz w:val="19"/>
        </w:rPr>
        <w:t>Deutsche Klinikdaten, direkter Versorgungsbezug, vergleichbare Dokumentationspflichten</w:t>
      </w:r>
    </w:p>
    <w:p>
      <w:r>
        <w:rPr>
          <w:color w:val="5A7D3A"/>
          <w:sz w:val="18"/>
        </w:rPr>
        <w:t>https://pubmed.ncbi.nlm.nih.gov/42881367/</w:t>
      </w:r>
    </w:p>
    <w:p>
      <w:pPr>
        <w:pStyle w:val="Heading2"/>
      </w:pPr>
      <w:r>
        <w:t>Herzfrequenzvariabilität erklärt teilweise Leberwertveränderungen bei Adipositas</w:t>
      </w:r>
    </w:p>
    <w:p>
      <w:r>
        <w:rPr>
          <w:i/>
          <w:color w:val="666666"/>
          <w:sz w:val="18"/>
        </w:rPr>
        <w:t>Gao L et al.  ·  Diabetes Obes Metab  ·  24.08.2026  ·  PMID 42638186</w:t>
      </w:r>
    </w:p>
    <w:p>
      <w:r>
        <w:t>Querschnittsstudie mit 432 Erwachsenen mit Übergewicht oder Adipositas und Validierung in 21.383 UK-Biobank-Teilnehmern; Untersuchung, inwieweit kardiale autonome Marker (Ruhehertzfrequenz, Herzfrequenzvariabilität) die Assoziation zwischen Adipositas und Leberwerterhöhung (ALT, AST, GGT) mediieren.</w:t>
      </w:r>
    </w:p>
    <w:p>
      <w:r>
        <w:rPr>
          <w:b/>
        </w:rPr>
        <w:t xml:space="preserve">Ergebnis: </w:t>
      </w:r>
      <w:r>
        <w:t>Höherer BMI und Taillen-Größen-Ratio waren mit erhöhten Leberwerten und höherer Ruhehertzfrequenz sowie niedrigerer Herzfrequenzvariabilität assoziiert. Ruhehertzfrequenz war der konsistenteste kardiale Mediator und erklärte 16,6–27,5 % der BMI-Assoziationen mit Leberwerten und 17,8–36,9 % der Taillen-Größen-Ratio-Assoziationen. Die Wirkungen blieben nach Einschluss von HOMA-IR statistisch signifikant, besonders für ALT. In UK Biobank erklärte Pulsfrequenz 5,83–9,47 % der Assoziationen.</w:t>
      </w:r>
    </w:p>
    <w:p>
      <w:r>
        <w:rPr>
          <w:b/>
          <w:sz w:val="19"/>
        </w:rPr>
        <w:t xml:space="preserve">Übertragbarkeit: </w:t>
      </w:r>
      <w:r>
        <w:rPr>
          <w:sz w:val="19"/>
        </w:rPr>
        <w:t>UK Biobank plus klinische Kohortendaten, vergleichbare cardiometabolische Risikomodelle</w:t>
      </w:r>
    </w:p>
    <w:p>
      <w:r>
        <w:rPr>
          <w:color w:val="5A7D3A"/>
          <w:sz w:val="18"/>
        </w:rPr>
        <w:t>https://pubmed.ncbi.nlm.nih.gov/42638186/</w:t>
      </w:r>
    </w:p>
    <w:p>
      <w:pPr>
        <w:pStyle w:val="Heading1"/>
      </w:pPr>
      <w:r>
        <w:t>Aufgenommen am 16.10.2026</w:t>
      </w:r>
    </w:p>
    <w:p>
      <w:pPr>
        <w:pStyle w:val="Heading2"/>
      </w:pPr>
      <w:r>
        <w:t>Sarkopenie plus Adipositas verdoppelte Funktionsbehinderungen bei älteren Brasilianern</w:t>
      </w:r>
    </w:p>
    <w:p>
      <w:r>
        <w:rPr>
          <w:i/>
          <w:color w:val="666666"/>
          <w:sz w:val="18"/>
        </w:rPr>
        <w:t>Danielewicz AL et al.  ·  Cien Saude Colet  ·  09.10.2026  ·  PMID 42879635</w:t>
      </w:r>
    </w:p>
    <w:p>
      <w:r>
        <w:t>Querschnittstudie der Brazilian Longitudinal Study of Aging (6.874 ältere Erwachsene ≥ 60 Jahre, 2019–2021); Assoziationen zwischen isolierter Sarkopenie und Kombination mit allgemeiner oder abdominaler Adipositas (nach SDOC-Kriterien: niedrige Gehgeschwindigkeit + geringe Handkraft) und Einschränkungen in Alltags- und instrumentellen Aktivitäten wurden geschlechtsstratifiziert analysiert.</w:t>
      </w:r>
    </w:p>
    <w:p>
      <w:r>
        <w:rPr>
          <w:b/>
        </w:rPr>
        <w:t xml:space="preserve">Ergebnis: </w:t>
      </w:r>
      <w:r>
        <w:t>Frauen mit Sarkopenie + allgemeiner Adipositas: OR 3,37 (95 % CI 1,47–7,71) für Alltags-Einschränkungen; mit abdominaler Adipositas: OR 2,59 (95 % CI 1,16–5,76). Sarkopenie allein erhöhte Instrumental-Aktivitäts-Einschränkungen bei Frauen (OR 2,08; 95 % CI 1,59–2,71) und Männern (OR 2,49; 95 % CI 1,67–3,73). Kombinierte Sarkopenie-Adipositas zeigte konsistent erhöhte Odds über Geschlecht hinweg.</w:t>
      </w:r>
    </w:p>
    <w:p>
      <w:r>
        <w:rPr>
          <w:b/>
          <w:sz w:val="19"/>
        </w:rPr>
        <w:t xml:space="preserve">Übertragbarkeit: </w:t>
      </w:r>
      <w:r>
        <w:rPr>
          <w:sz w:val="19"/>
        </w:rPr>
        <w:t>Brasilien; entwickeltes Land, aber andere Sozialversicherung; Phänomen der adipösen Sarkopenie übertragbar</w:t>
      </w:r>
    </w:p>
    <w:p>
      <w:r>
        <w:rPr>
          <w:color w:val="5A7D3A"/>
          <w:sz w:val="18"/>
        </w:rPr>
        <w:t>https://pubmed.ncbi.nlm.nih.gov/42879635/</w:t>
      </w:r>
    </w:p>
    <w:p>
      <w:pPr>
        <w:pStyle w:val="Heading2"/>
      </w:pPr>
      <w:r>
        <w:t>Ultraprozessierte Nahrung assoziiert mit Hirnverletzungen und erhöhtem Adipositasrisiko</w:t>
      </w:r>
    </w:p>
    <w:p>
      <w:r>
        <w:rPr>
          <w:i/>
          <w:color w:val="666666"/>
          <w:sz w:val="18"/>
        </w:rPr>
        <w:t>de Souza RJ et al.  ·  JAMA Netw Open  ·  01.10.2026  ·  PMID 42879154</w:t>
      </w:r>
    </w:p>
    <w:p>
      <w:r>
        <w:t>Querschnittstudie von 8.783 kanadischen Erwachsenen mittleren Alters ohne kardiovaskuläre Erkrankung; Assoziationen zwischen Aufnahme ultraprozessierter Lebensmittel (UPF), gemessen mit Ernährungsfragebögen, und Körperfettanteil, viszerales Fett, Hirnverletzungen sowie kognitives Testergebnis wurden analysiert.</w:t>
      </w:r>
    </w:p>
    <w:p>
      <w:r>
        <w:rPr>
          <w:b/>
        </w:rPr>
        <w:t xml:space="preserve">Ergebnis: </w:t>
      </w:r>
      <w:r>
        <w:t>Höchste UPF-Quartile gegenüber niedrigster: Körperfettanteil um 1,7 Prozentpunkte höher, viszerales Fett um 5,7 mL größer. Erhöhte Odds für Hirnverletzungen (aOR 1,40; 95 % CI 1,10–1,77; p = 0,009). Keine signifikanten Assoziationen mit kognitiven Tests. Erkenntnisse zur Hirnverletzung waren sensibel gegenüber Expositionsdefinition.</w:t>
      </w:r>
    </w:p>
    <w:p>
      <w:r>
        <w:rPr>
          <w:b/>
          <w:sz w:val="19"/>
        </w:rPr>
        <w:t xml:space="preserve">Übertragbarkeit: </w:t>
      </w:r>
      <w:r>
        <w:rPr>
          <w:sz w:val="19"/>
        </w:rPr>
        <w:t>Kanada; vergleichbare Ernährungsmuster, Sozialversicherung ähnlich</w:t>
      </w:r>
    </w:p>
    <w:p>
      <w:r>
        <w:rPr>
          <w:color w:val="5A7D3A"/>
          <w:sz w:val="18"/>
        </w:rPr>
        <w:t>https://pubmed.ncbi.nlm.nih.gov/42879154/</w:t>
      </w:r>
    </w:p>
    <w:p>
      <w:pPr>
        <w:pStyle w:val="Heading2"/>
      </w:pPr>
      <w:r>
        <w:t>Qualitätsprogramm erhöhte ärztliches Vertrauen in evidenzbasierte Adipositas-Versorgung</w:t>
      </w:r>
    </w:p>
    <w:p>
      <w:r>
        <w:rPr>
          <w:i/>
          <w:color w:val="666666"/>
          <w:sz w:val="18"/>
        </w:rPr>
        <w:t>Bodrick NI et al.  ·  Am J Health Promot  ·  16.01.2026  ·  PMID 42876243</w:t>
      </w:r>
    </w:p>
    <w:p>
      <w:r>
        <w:t>Qualitätsverbesserungsprogramm in zwei US-amerikanischen Primarversorgungszentren zur Umsetzung evidenzbasierter Adipositas-Behandlung; Evaluiert wurden Wissensgewinne und Selbstsicherheit der Ärzte sowie wahrgenommene Verbesserungen durch Fragebogen und Interviews.</w:t>
      </w:r>
    </w:p>
    <w:p>
      <w:r>
        <w:rPr>
          <w:b/>
        </w:rPr>
        <w:t xml:space="preserve">Ergebnis: </w:t>
      </w:r>
      <w:r>
        <w:t>33 % der 42 angesprochenen Kliniker (14 Ärzte) vollendeten beide Befragungen. Die klinische Selbstsicherheit in Diagnose und Management der Adipositas stieg signifikant (χ² = 12,0, p = 0,0005). Qualitativ wurden drei zentrale Themen identifiziert: Verbesserung des Adipositas-Managements, Barrieren in der Versorgung und gesteigertes Bewusstsein für Gewichtsstigma. Das Programm reduzierte die Schere zwischen Evidenz und Praxis.</w:t>
      </w:r>
    </w:p>
    <w:p>
      <w:r>
        <w:rPr>
          <w:b/>
          <w:sz w:val="19"/>
        </w:rPr>
        <w:t xml:space="preserve">Übertragbarkeit: </w:t>
      </w:r>
      <w:r>
        <w:rPr>
          <w:sz w:val="19"/>
        </w:rPr>
        <w:t>USA; Ansatz zur Stärkung evidenzbasierter Praxis teilweise auf Deutschland übertragbar</w:t>
      </w:r>
    </w:p>
    <w:p>
      <w:r>
        <w:rPr>
          <w:color w:val="5A7D3A"/>
          <w:sz w:val="18"/>
        </w:rPr>
        <w:t>https://pubmed.ncbi.nlm.nih.gov/42876243/</w:t>
      </w:r>
    </w:p>
    <w:p>
      <w:pPr>
        <w:pStyle w:val="Heading2"/>
      </w:pPr>
      <w:r>
        <w:t>GLP-1-Agonisten reduzierten psychiatrische Krankenhausaufnahmen bei Schizophrenie</w:t>
      </w:r>
    </w:p>
    <w:p>
      <w:r>
        <w:rPr>
          <w:i/>
          <w:color w:val="666666"/>
          <w:sz w:val="18"/>
        </w:rPr>
        <w:t>Davoodian N et al.  ·  Lancet Psychiatry  ·  Nov. 2026  ·  PMID 42874603</w:t>
      </w:r>
    </w:p>
    <w:p>
      <w:r>
        <w:t>Beobachtungskohortenstudie mit Daten aus elektronischen Gesundheitsregistern; 70.257 US-Erwachsene mit dokumentierter Schizophrenie und Typ-2-Diabetes wurden nach Einleitung von GLP-1-Agonisten, DPP-4-Inhibitoren, SGLT2-Inhibitoren oder Nichtinitiation verglichen hinsichtlich psychiatrischer Krankenhausaufnahmen und Notaufnahmebesuche.</w:t>
      </w:r>
    </w:p>
    <w:p>
      <w:r>
        <w:rPr>
          <w:b/>
        </w:rPr>
        <w:t xml:space="preserve">Ergebnis: </w:t>
      </w:r>
      <w:r>
        <w:t>Unter 70.257 Patienten (Alter 53,1 Jahre; 48,2 % Frauen) initierten 12,9 % GLP-1-Agonisten. GLP-1-Initiierung war assoziiert mit niedrigerem Risiko psychiatrischer Krankenhausaufnahmen gegenüber Nichtinitiation (HR 0,76; 95 % CI 0,71–0,82), DPP-4-Inhibitoren (HR 0,82; 95 % CI 0,75–0,90) und SGLT2-Inhibitoren (HR 0,83; 95 % CI 0,78–0,88). Notaufnahmebesuche: HR 0,71 (95 % CI 0,65–0,77) vs. Nichtinitiation. Residuale Konfundierung und Selektionsbias möglich.</w:t>
      </w:r>
    </w:p>
    <w:p>
      <w:r>
        <w:rPr>
          <w:b/>
          <w:sz w:val="19"/>
        </w:rPr>
        <w:t xml:space="preserve">Übertragbarkeit: </w:t>
      </w:r>
      <w:r>
        <w:rPr>
          <w:sz w:val="19"/>
        </w:rPr>
        <w:t>USA; Kostentragung für GLP-1 völlig anders; Psychiatrie-Outcome nicht primärer Adipositas-Endpunkt</w:t>
      </w:r>
    </w:p>
    <w:p>
      <w:r>
        <w:rPr>
          <w:color w:val="5A7D3A"/>
          <w:sz w:val="18"/>
        </w:rPr>
        <w:t>https://pubmed.ncbi.nlm.nih.gov/42874603/</w:t>
      </w:r>
    </w:p>
    <w:p>
      <w:pPr>
        <w:pStyle w:val="Heading2"/>
      </w:pPr>
      <w:r>
        <w:t>Patientenpräferenzen bei Antidiabetika: Wirksamkeit und Handhabung vor Gewichtsverlust</w:t>
      </w:r>
    </w:p>
    <w:p>
      <w:r>
        <w:rPr>
          <w:i/>
          <w:color w:val="666666"/>
          <w:sz w:val="18"/>
        </w:rPr>
        <w:t>González-Cruz DC et al.  ·  BMJ Med  ·  08.10.2026  ·  PMID 42866418</w:t>
      </w:r>
    </w:p>
    <w:p>
      <w:r>
        <w:t>Systematischer Review von 34 Studien (15.656 Patienten) zu Werten, Präferenzen und wahrgenommener Behandlungslast bei Erwachsenen mit Typ-2-Diabetes bezüglich GLP-1-Agonisten, SGLT2-Inhibitoren, Tirzepatid oder Finerenon; 17 Studien waren neu seit 2021.</w:t>
      </w:r>
    </w:p>
    <w:p>
      <w:r>
        <w:rPr>
          <w:b/>
        </w:rPr>
        <w:t xml:space="preserve">Ergebnis: </w:t>
      </w:r>
      <w:r>
        <w:t>Patienten priorisieren durchgängig glykämische Wirksamkeit, kardiovaskuläres Risikoreduktion und Einfachheit der Anwendung. Orale Einmal-täglich-Regime und wöchentliche Injectable mit benutzerfreundlichen Geräten bevorzugt. Gewichtsverlust wird geschätzt, ist aber typischerweise sekundär gegenüber glykämischen und kardiovaskulären Vorteilen. Keine klare Präferenz zwischen SGLT2i und GLP-1RA; für Finerenon keine Daten. Evidenzsicherheit niedrig bis sehr niedrig.</w:t>
      </w:r>
    </w:p>
    <w:p>
      <w:r>
        <w:rPr>
          <w:b/>
          <w:sz w:val="19"/>
        </w:rPr>
        <w:t xml:space="preserve">Übertragbarkeit: </w:t>
      </w:r>
      <w:r>
        <w:rPr>
          <w:sz w:val="19"/>
        </w:rPr>
        <w:t>Internationale Evidenz; Patientenpräferenzen prinzipiell länderübergreifend, aber Kostenerstattung (§ 34 SGB V) in Deutschland ausschlaggebend</w:t>
      </w:r>
    </w:p>
    <w:p>
      <w:r>
        <w:rPr>
          <w:color w:val="5A7D3A"/>
          <w:sz w:val="18"/>
        </w:rPr>
        <w:t>https://pubmed.ncbi.nlm.nih.gov/42866418/</w:t>
      </w:r>
    </w:p>
    <w:p>
      <w:pPr>
        <w:pStyle w:val="Heading2"/>
      </w:pPr>
      <w:r>
        <w:t>Langzeit-GLP-1-Therapie bei Adipositas: italienisches Expertenpaneel empfiehlt multimodale Strategie</w:t>
      </w:r>
    </w:p>
    <w:p>
      <w:r>
        <w:rPr>
          <w:i/>
          <w:color w:val="666666"/>
          <w:sz w:val="18"/>
        </w:rPr>
        <w:t>Brancato D et al.  ·  Front Endocrinol (Lausanne)  ·  28.09.2026  ·  PMID 42865447</w:t>
      </w:r>
    </w:p>
    <w:p>
      <w:r>
        <w:t>Expertengruppe italienischer Kliniker mit Spezialisierung auf Adipositas und Stoffwechselerkrankungen entwickelte praktische Empfehlungen für nachhaltige Langzeitbehandlung mit GLP-1-Agonisten auf Basis von Literaturanalyse und klinischer Erfahrung.</w:t>
      </w:r>
    </w:p>
    <w:p>
      <w:r>
        <w:rPr>
          <w:b/>
        </w:rPr>
        <w:t xml:space="preserve">Ergebnis: </w:t>
      </w:r>
      <w:r>
        <w:t>Schlüsselempfehlungen: (1) Adipositas als chronische Erkrankung mit Rückfallneigung anerkennen; (2) umfassende Baseline-Phänotypisierung und Treat-to-Benefit-Ansatz statt nur Gewichtsverlust; (3) Erhaltungstherapie nach Erreichen von Zielen, flexible Dosisanpassung, frühzeitige Rückfallzeichen; (4) Integration in multimodale Versorgung (Ernährung, Bewegung, Verhalten); (5) proaktives Nebenwirkungsmanagement und Patientenedukation für Adhärenz; (6) adressiere ökonomische Hürden für Nachhaltigkeit.</w:t>
      </w:r>
    </w:p>
    <w:p>
      <w:r>
        <w:rPr>
          <w:b/>
          <w:sz w:val="19"/>
        </w:rPr>
        <w:t xml:space="preserve">Übertragbarkeit: </w:t>
      </w:r>
      <w:r>
        <w:rPr>
          <w:sz w:val="19"/>
        </w:rPr>
        <w:t>Italien; ähnliches Gesundheitssystem, aber Kostenerstattung GLP-1 in Deutschland § 34 SGB V ausgeschlossen</w:t>
      </w:r>
    </w:p>
    <w:p>
      <w:r>
        <w:rPr>
          <w:color w:val="5A7D3A"/>
          <w:sz w:val="18"/>
        </w:rPr>
        <w:t>https://pubmed.ncbi.nlm.nih.gov/42865447/</w:t>
      </w:r>
    </w:p>
    <w:p>
      <w:pPr>
        <w:pStyle w:val="Heading1"/>
      </w:pPr>
      <w:r>
        <w:t>Aufgenommen am 15.10.2026</w:t>
      </w:r>
    </w:p>
    <w:p>
      <w:pPr>
        <w:pStyle w:val="Heading2"/>
      </w:pPr>
      <w:r>
        <w:t>Antipsychotika: Blutzucker und Gewicht stiegen in ersten 90 Tagen deutlich an</w:t>
      </w:r>
    </w:p>
    <w:p>
      <w:r>
        <w:rPr>
          <w:i/>
          <w:color w:val="666666"/>
          <w:sz w:val="18"/>
        </w:rPr>
        <w:t>Bazo-Alvarez JC et al.  ·  Lancet Psychiatry  ·  Nov. 2026  ·  PMID 42874604</w:t>
      </w:r>
    </w:p>
    <w:p>
      <w:r>
        <w:t>Englische Registerdaten zu 53.558 Patienten mit schwerer psychischer Erkrankung zeigten, wie sich HbA1c und Körpergewicht nach Beginn einer Antipsychotika-Behandlung veränderten.</w:t>
      </w:r>
    </w:p>
    <w:p>
      <w:r>
        <w:rPr>
          <w:b/>
        </w:rPr>
        <w:t xml:space="preserve">Ergebnis: </w:t>
      </w:r>
      <w:r>
        <w:t>In den ersten 90 Tagen nach Behandlungsbeginn stiegen HbA1c um 0,12 mmol/mol pro Woche und Gewicht um 0,21 kg pro Woche an – deutlich rascher als in der Vorbehandlungsphase (HbA1c 0,01; Gewicht 0,02 kg/Woche). Nach Tag 91 normalisierten sich die Raten wieder. Bei Patienten mit Prädiabetes entwickelten 13,7 % innerhalb von 2 Jahren Typ-2-Diabetes. Olanzapin zeigte die stärksten Effekte, Frauen waren stärker betroffen als Männer.</w:t>
      </w:r>
    </w:p>
    <w:p>
      <w:r>
        <w:rPr>
          <w:b/>
          <w:sz w:val="19"/>
        </w:rPr>
        <w:t xml:space="preserve">Übertragbarkeit: </w:t>
      </w:r>
      <w:r>
        <w:rPr>
          <w:sz w:val="19"/>
        </w:rPr>
        <w:t>England, elektronische Gesundheitsakten; vergleichbar mit strukturierten deutschen Dokumentationssystemen</w:t>
      </w:r>
    </w:p>
    <w:p>
      <w:r>
        <w:rPr>
          <w:color w:val="5A7D3A"/>
          <w:sz w:val="18"/>
        </w:rPr>
        <w:t>https://pubmed.ncbi.nlm.nih.gov/42874604/</w:t>
      </w:r>
    </w:p>
    <w:p>
      <w:pPr>
        <w:pStyle w:val="Heading2"/>
      </w:pPr>
      <w:r>
        <w:t>Telemedizin für PMOS: Gewicht −4,9 %, HOMA-IR −14 %, unabhängig von GLP-1</w:t>
      </w:r>
    </w:p>
    <w:p>
      <w:r>
        <w:rPr>
          <w:i/>
          <w:color w:val="666666"/>
          <w:sz w:val="18"/>
        </w:rPr>
        <w:t>Huddleston HG et al.  ·  Endocrinol Diabetes Metab  ·  Nov. 2026  ·  PMID 42872607</w:t>
      </w:r>
    </w:p>
    <w:p>
      <w:r>
        <w:t>US-amerikanische Realweltanalyse von 919 Frauen mit BMI ≥25, davon 557 mit PMOS (ehemals PCOS), in Telehealth-Versorgung mit Arzt und Diätassistentin über mindestens 6 Monate Nachverfolgung.</w:t>
      </w:r>
    </w:p>
    <w:p>
      <w:r>
        <w:rPr>
          <w:b/>
        </w:rPr>
        <w:t xml:space="preserve">Ergebnis: </w:t>
      </w:r>
      <w:r>
        <w:t>Signifikante Verbesserungen über die gesamte Kohorte: Gewicht −4,9 %, HOMA-IR −14,0 %, Nüchterninsulin −15,6 %, Nüchternglukose −13,0 %, HbA1c −6,2 %, ALT −21,2 %, AST −25,5 %, Gesamtcholesterin −8,0 %. PCOS-Status war nicht mit unterschiedlichen Verbesserungen assoziiert. GLP-1-Rezeptoragonisten wurden assoziiert mit größerem Gewichtsverlust, aber auch ohne Medikation traten Verbesserungen auf.</w:t>
      </w:r>
    </w:p>
    <w:p>
      <w:r>
        <w:rPr>
          <w:b/>
          <w:sz w:val="19"/>
        </w:rPr>
        <w:t xml:space="preserve">Übertragbarkeit: </w:t>
      </w:r>
      <w:r>
        <w:rPr>
          <w:sz w:val="19"/>
        </w:rPr>
        <w:t>USA, elektronische Gesundheitsakten; Ergebnis für Telehealth-Modelle relevant, Arzneimittelverfügbarkeit in Deutschland anders</w:t>
      </w:r>
    </w:p>
    <w:p>
      <w:r>
        <w:rPr>
          <w:color w:val="5A7D3A"/>
          <w:sz w:val="18"/>
        </w:rPr>
        <w:t>https://pubmed.ncbi.nlm.nih.gov/42872607/</w:t>
      </w:r>
    </w:p>
    <w:p>
      <w:pPr>
        <w:pStyle w:val="Heading2"/>
      </w:pPr>
      <w:r>
        <w:t>Türkei: Adipositas verursacht 31 % der Diabetes- und 26 % der Herzkrankheitslast</w:t>
      </w:r>
    </w:p>
    <w:p>
      <w:r>
        <w:rPr>
          <w:i/>
          <w:color w:val="666666"/>
          <w:sz w:val="18"/>
        </w:rPr>
        <w:t>Ersoy Şen B et al.  ·  Front Public Health  ·  29.09.2026  ·  PMID 42871398</w:t>
      </w:r>
    </w:p>
    <w:p>
      <w:r>
        <w:t>Türkische Felderhebung an 22.667 Erwachsenen quantifizierte, wie viel der Krankheitslast bei Diabetes, Hypertonie und Herzkrankheit statistisch auf Adipositas zurückzuführen ist.</w:t>
      </w:r>
    </w:p>
    <w:p>
      <w:r>
        <w:rPr>
          <w:b/>
        </w:rPr>
        <w:t xml:space="preserve">Ergebnis: </w:t>
      </w:r>
      <w:r>
        <w:t>Adipositasprävalenz: 29,9 % (Frauen 35,7 %, Männer 23,9 %). Adipositas war assoziiert mit Diabetes (aOR 2,88, p&lt;0,001), Hypertonie (aOR 2,50) und Herzkrankheit (aOR 2,29). Die populationsattribuierbaren Fraktionen betrugen 31,5 % für Diabetes mellitus, 25,8 % für Hypertonie und 26,1 % für Herzkrankheit. Das Alter modifizierte diese Assoziationen signifikant, nicht aber das Geschlecht.</w:t>
      </w:r>
    </w:p>
    <w:p>
      <w:r>
        <w:rPr>
          <w:b/>
          <w:sz w:val="19"/>
        </w:rPr>
        <w:t xml:space="preserve">Übertragbarkeit: </w:t>
      </w:r>
      <w:r>
        <w:rPr>
          <w:sz w:val="19"/>
        </w:rPr>
        <w:t>Türkei, Bevölkerungsquerschnitt; Zeigt Krankheitslast in Ländern mit ähnlichem Gesundheitssystem</w:t>
      </w:r>
    </w:p>
    <w:p>
      <w:r>
        <w:rPr>
          <w:color w:val="5A7D3A"/>
          <w:sz w:val="18"/>
        </w:rPr>
        <w:t>https://pubmed.ncbi.nlm.nih.gov/42871398/</w:t>
      </w:r>
    </w:p>
    <w:p>
      <w:pPr>
        <w:pStyle w:val="Heading2"/>
      </w:pPr>
      <w:r>
        <w:t>Dynapene Adipositas bei älteren Hypertoniepatienten: 41 % höheres Kognitionsrisiko</w:t>
      </w:r>
    </w:p>
    <w:p>
      <w:r>
        <w:rPr>
          <w:i/>
          <w:color w:val="666666"/>
          <w:sz w:val="18"/>
        </w:rPr>
        <w:t>An P et al.  ·  Front Public Health  ·  29.09.2026  ·  PMID 42871064</w:t>
      </w:r>
    </w:p>
    <w:p>
      <w:r>
        <w:t>Chinesische Querschnittsstudie an 9.568 älteren Hypertoniepatienten untersuchte, ob Adipositas ohne ausreichende Muskelmasse (dynapene Adipositas) mit kognitiver Beeinträchtigung verbunden ist.</w:t>
      </w:r>
    </w:p>
    <w:p>
      <w:r>
        <w:rPr>
          <w:b/>
        </w:rPr>
        <w:t xml:space="preserve">Ergebnis: </w:t>
      </w:r>
      <w:r>
        <w:t>Dynapene Adipositas war mit kognitiver Störung assoziiert (aOR 1,418, 95%-KI 1,263–1,591). Die Assoziation verlief über verringerte körperliche Aktivität (aOR 0,708), die mit niedrigerem Depressions- und Kognitionsrisiko verbunden war. Depressive Störungen selbst erhöhten das Kognitionsrisiko um 31 % (aOR 1,312). Befunde waren über Altersgruppen konsistent.</w:t>
      </w:r>
    </w:p>
    <w:p>
      <w:r>
        <w:rPr>
          <w:b/>
          <w:sz w:val="19"/>
        </w:rPr>
        <w:t xml:space="preserve">Übertragbarkeit: </w:t>
      </w:r>
      <w:r>
        <w:rPr>
          <w:sz w:val="19"/>
        </w:rPr>
        <w:t>China, klinische Querschnittsdaten; zeigt Pathomechanismus unabhängig vom BMI allein</w:t>
      </w:r>
    </w:p>
    <w:p>
      <w:r>
        <w:rPr>
          <w:color w:val="5A7D3A"/>
          <w:sz w:val="18"/>
        </w:rPr>
        <w:t>https://pubmed.ncbi.nlm.nih.gov/42871064/</w:t>
      </w:r>
    </w:p>
    <w:p>
      <w:pPr>
        <w:pStyle w:val="Heading2"/>
      </w:pPr>
      <w:r>
        <w:t>Ultraprozessierte Lebensmittel: 45 % der Erwachsenenernährung, schwache Assoziationen mit Übergewicht</w:t>
      </w:r>
    </w:p>
    <w:p>
      <w:r>
        <w:rPr>
          <w:i/>
          <w:color w:val="666666"/>
          <w:sz w:val="18"/>
        </w:rPr>
        <w:t>Sällström T et al.  ·  Nutr J  ·  13.10.2026  ·  PMID 42870269</w:t>
      </w:r>
    </w:p>
    <w:p>
      <w:r>
        <w:t>Schwedische Ernährungserhebungen untersuchten den Anteil ultraprozessierter Lebensmittel in der Gesamtenergieaufnahme und dessen Zusammenhang mit Ernährungsqualität und BMI.</w:t>
      </w:r>
    </w:p>
    <w:p>
      <w:r>
        <w:rPr>
          <w:b/>
        </w:rPr>
        <w:t xml:space="preserve">Ergebnis: </w:t>
      </w:r>
      <w:r>
        <w:t>Ultraprozessierte Lebensmittel machten 45 % der Energieaufnahme bei Erwachsenen, 52 % bei Jugendlichen und 46 % bei Kleinkindern aus. Bei Erwachsenen war jede zusätzliche 10-%-Energieeinheit ultraprozessierter Lebensmittel mit 0,61 % höherem BMI verbunden (p=0,036); die Übergewichtsquote war im höchsten vs. niedrigsten Tertil um 16 % erhöht (p=0,018). Bei Jugendlichen und Kleinkindern zeigten sich keine signifikanten BMI-Assoziationen.</w:t>
      </w:r>
    </w:p>
    <w:p>
      <w:r>
        <w:rPr>
          <w:b/>
          <w:sz w:val="19"/>
        </w:rPr>
        <w:t xml:space="preserve">Übertragbarkeit: </w:t>
      </w:r>
      <w:r>
        <w:rPr>
          <w:sz w:val="19"/>
        </w:rPr>
        <w:t>Schweden, nationale Querschnittsdaten; vergleichbares Lebensmittelsystem</w:t>
      </w:r>
    </w:p>
    <w:p>
      <w:r>
        <w:rPr>
          <w:color w:val="5A7D3A"/>
          <w:sz w:val="18"/>
        </w:rPr>
        <w:t>https://pubmed.ncbi.nlm.nih.gov/42870269/</w:t>
      </w:r>
    </w:p>
    <w:p>
      <w:pPr>
        <w:pStyle w:val="Heading2"/>
      </w:pPr>
      <w:r>
        <w:t>Nach Magenbypass: Schilddrüsenhormone mussten erhöht werden, Mikrobiom veränderte sich</w:t>
      </w:r>
    </w:p>
    <w:p>
      <w:r>
        <w:rPr>
          <w:i/>
          <w:color w:val="666666"/>
          <w:sz w:val="18"/>
        </w:rPr>
        <w:t>El-Sehrawy AAMA et al.  ·  BMC Endocr Disord  ·  12.10.2026  ·  PMID 42870254</w:t>
      </w:r>
    </w:p>
    <w:p>
      <w:r>
        <w:t>Ägyptische prospektive Kohortenstudie an 79 hypothyreoten Patienten verfolgten Veränderungen in Schilddrüsenstoffwechsel, Levothyroxin-Anforderungen und Darmmikrobiom nach Roux-en-Y-Bypass oder Sleeve-Gastrektomie über 6 Monate.</w:t>
      </w:r>
    </w:p>
    <w:p>
      <w:r>
        <w:rPr>
          <w:b/>
        </w:rPr>
        <w:t xml:space="preserve">Ergebnis: </w:t>
      </w:r>
      <w:r>
        <w:t>Nach 6 Monaten: BMI sank von 44,5 auf 32,1 kg/m² (RYGB) bzw. 42,9 auf 33,0 (SG; beide p&lt;0,001). Levothyroxin-Anforderungen stiegen signifikant: RYGB von 137,5 auf 158,2 µg/Tag (p=0,018), SG von 133,3 auf 144,8 µg/Tag (p=0,067). FT4-AUC₀₋₆h stieg nach der Operation an (RYGB +330, p=0,003). Shannon-Diversität und Akkermansia muciniphila nahmen zu, besonders bei RYGB (p&lt;0,001).</w:t>
      </w:r>
    </w:p>
    <w:p>
      <w:r>
        <w:rPr>
          <w:b/>
          <w:sz w:val="19"/>
        </w:rPr>
        <w:t xml:space="preserve">Übertragbarkeit: </w:t>
      </w:r>
      <w:r>
        <w:rPr>
          <w:sz w:val="19"/>
        </w:rPr>
        <w:t>Ägypten, prospektive Klinikdaten; zeigt Dosierungsanpassung als klinische Notwendigkeit</w:t>
      </w:r>
    </w:p>
    <w:p>
      <w:r>
        <w:rPr>
          <w:color w:val="5A7D3A"/>
          <w:sz w:val="18"/>
        </w:rPr>
        <w:t>https://pubmed.ncbi.nlm.nih.gov/42870254/</w:t>
      </w:r>
    </w:p>
    <w:p>
      <w:pPr>
        <w:pStyle w:val="Heading2"/>
      </w:pPr>
      <w:r>
        <w:t>Leistenbruchoperation: Rauchen erhöht Komplikationsrisiko, Adipositas nicht</w:t>
      </w:r>
    </w:p>
    <w:p>
      <w:r>
        <w:rPr>
          <w:i/>
          <w:color w:val="666666"/>
          <w:sz w:val="18"/>
        </w:rPr>
        <w:t>Fredberg J et al.  ·  BJS Open  ·  04.09.2026  ·  PMID 42868085</w:t>
      </w:r>
    </w:p>
    <w:p>
      <w:r>
        <w:t>Dänische Nationalregisterdaten zu 2.391 Patienten mit elektivem Nabelbruchverschluss verfolgten Reoperationen wegen Komplikationen bis zu 4,65 Jahren nach dem Eingriff.</w:t>
      </w:r>
    </w:p>
    <w:p>
      <w:r>
        <w:rPr>
          <w:b/>
        </w:rPr>
        <w:t xml:space="preserve">Ergebnis: </w:t>
      </w:r>
      <w:r>
        <w:t>18,4 % waren Raucher, 34 % obese (BMI &gt;30). Raucher hatten eine 1,68-fach erhöhte Rate für Reoperationen insgesamt (p=0,032) und eine 2,01-fache für Nicht-Rezidiv-Komplikationen (p=0,009). Adipöse Patienten zeigten eine 1,83-fach erhöhte Rate für Nicht-Rezidiv-Komplikationen (p=0,016), aber kein signifikant erhöhtes Rezidivrisiko. Rauchen und Adipositas beeinflußten das reine Rezidivrisiko nicht signifikant.</w:t>
      </w:r>
    </w:p>
    <w:p>
      <w:r>
        <w:rPr>
          <w:b/>
          <w:sz w:val="19"/>
        </w:rPr>
        <w:t xml:space="preserve">Übertragbarkeit: </w:t>
      </w:r>
      <w:r>
        <w:rPr>
          <w:sz w:val="19"/>
        </w:rPr>
        <w:t>Dänemark, komplette nationale Folgedaten; vergleichbares Gesundheitssystem</w:t>
      </w:r>
    </w:p>
    <w:p>
      <w:r>
        <w:rPr>
          <w:color w:val="5A7D3A"/>
          <w:sz w:val="18"/>
        </w:rPr>
        <w:t>https://pubmed.ncbi.nlm.nih.gov/42868085/</w:t>
      </w:r>
    </w:p>
    <w:p>
      <w:pPr>
        <w:pStyle w:val="Heading1"/>
      </w:pPr>
      <w:r>
        <w:t>Aufgenommen am 14.10.2026</w:t>
      </w:r>
    </w:p>
    <w:p>
      <w:pPr>
        <w:pStyle w:val="Heading2"/>
      </w:pPr>
      <w:r>
        <w:t>Mexiko: Ernährungsfachkräfte konzentrieren sich in wohlhabenderen Regionen, fehlen in Primärversorgung</w:t>
      </w:r>
    </w:p>
    <w:p>
      <w:r>
        <w:rPr>
          <w:i/>
          <w:color w:val="666666"/>
          <w:sz w:val="18"/>
        </w:rPr>
        <w:t>Hoyos-Loya E et al.  ·  Rev Peru Med Exp Salud Publica  ·  30.09.2026  ·  PMID 42867955</w:t>
      </w:r>
    </w:p>
    <w:p>
      <w:r>
        <w:t>Ökologische Studie mit Sekundärdaten 2019 und 2023: Dichte von Ernährungsfachkräften (HRN) pro 100.000 Einwohner in Mexiko, Ungleichheit nach Bundesstaat, Versicherungsstatus und Versorgungsebene.</w:t>
      </w:r>
    </w:p>
    <w:p>
      <w:r>
        <w:rPr>
          <w:b/>
        </w:rPr>
        <w:t xml:space="preserve">Ergebnis: </w:t>
      </w:r>
      <w:r>
        <w:t>HRN-Dichte stieg von 5,9 (2019) auf 6,9 pro 100.000 (2023), aber ungleich verteilt. Sekundär-/Tertiärversorgung: 22,41 HRN/100.000, Primärversorgung nur 2,0. Höhere Konzentration in weniger marginalisierten Bundesstaaten (Konzentrationsindex CI=0,13 2019, CI=0,11 2023), bei versicherten Populationen (CI=0,36→0,33), höhere Versorgungsebenen (CI=0,20→0,18). Persistente regionale und Ebenen-Ungleichheiten trotz Gesamtwachstum.</w:t>
      </w:r>
    </w:p>
    <w:p>
      <w:r>
        <w:rPr>
          <w:b/>
          <w:sz w:val="19"/>
        </w:rPr>
        <w:t xml:space="preserve">Übertragbarkeit: </w:t>
      </w:r>
      <w:r>
        <w:rPr>
          <w:sz w:val="19"/>
        </w:rPr>
        <w:t>Mexiko, Verwaltungsdaten; Versorgungsungleichheit und Personalverteilung auch in Deutschland relevant.</w:t>
      </w:r>
    </w:p>
    <w:p>
      <w:r>
        <w:rPr>
          <w:color w:val="5A7D3A"/>
          <w:sz w:val="18"/>
        </w:rPr>
        <w:t>https://pubmed.ncbi.nlm.nih.gov/42867955/</w:t>
      </w:r>
    </w:p>
    <w:p>
      <w:pPr>
        <w:pStyle w:val="Heading2"/>
      </w:pPr>
      <w:r>
        <w:t>Frühgeborene haben niedrigere BMI-Werte – Gewichtskurven divergieren bis Alter 6 Jahren</w:t>
      </w:r>
    </w:p>
    <w:p>
      <w:r>
        <w:rPr>
          <w:i/>
          <w:color w:val="666666"/>
          <w:sz w:val="18"/>
        </w:rPr>
        <w:t>Aoki Y et al.  ·  Eur J Pediatr  ·  13.10.2026  ·  PMID 42867560</w:t>
      </w:r>
    </w:p>
    <w:p>
      <w:r>
        <w:t>Prospektive Kohorte von 93.406 Kindern in Japan: Assoziationen zwischen Frühgeburt und BMI-Trajektorien im Alter 3–6 Jahre mittels linearer Mischeffektmodelle.</w:t>
      </w:r>
    </w:p>
    <w:p>
      <w:r>
        <w:rPr>
          <w:b/>
        </w:rPr>
        <w:t xml:space="preserve">Ergebnis: </w:t>
      </w:r>
      <w:r>
        <w:t>Frühgeborene hatten erhöhte Quoten für Untergewicht (BMI&lt;-2 SD): adjustierte OR 1,35 (95%-CI 0,94–1,93) im Alter 3, 1,43 (1,02–1,99) im Alter 4, 1,70 (1,29–2,25) im Alter 5 und 1,52 (1,20–1,92) im Alter 6 Jahren. Der mittlere BMI-Unterschied lag über 3–6 Jahre konsistent bei 0,11–0,19 kg/m², ohne Konvergenz. Die Befunde deuten auf persistente Wachstumsdifferenzen hin.</w:t>
      </w:r>
    </w:p>
    <w:p>
      <w:r>
        <w:rPr>
          <w:b/>
          <w:sz w:val="19"/>
        </w:rPr>
        <w:t xml:space="preserve">Übertragbarkeit: </w:t>
      </w:r>
      <w:r>
        <w:rPr>
          <w:sz w:val="19"/>
        </w:rPr>
        <w:t>Japan, nationale Geburtskohorte mit vollständiger Verfolgung, aber Ergebnisse zur frühen Prävention relevant.</w:t>
      </w:r>
    </w:p>
    <w:p>
      <w:r>
        <w:rPr>
          <w:color w:val="5A7D3A"/>
          <w:sz w:val="18"/>
        </w:rPr>
        <w:t>https://pubmed.ncbi.nlm.nih.gov/42867560/</w:t>
      </w:r>
    </w:p>
    <w:p>
      <w:pPr>
        <w:pStyle w:val="Heading2"/>
      </w:pPr>
      <w:r>
        <w:t>Elterliche Adipositas verdreifacht bis vervierfacht Risiko für Übergewicht und zentrale Adipositas bei Nachkommen</w:t>
      </w:r>
    </w:p>
    <w:p>
      <w:r>
        <w:rPr>
          <w:i/>
          <w:color w:val="666666"/>
          <w:sz w:val="18"/>
        </w:rPr>
        <w:t>Qian Y et al.  ·  Front Public Health  ·  28.09.2026  ·  PMID 42865493</w:t>
      </w:r>
    </w:p>
    <w:p>
      <w:r>
        <w:t>Prospektive Kohortenstudie China Health and Nutrition Survey (1989–2015): 4.982 Nachkommen ab Alter ≥2 Jahre, stratifiziert nach elterlichem Übergewicht/Adipositas; Langzeit-Trajektorien von BMI, Taillenumfang und Blutdruck mittels linearer Mischeffektmodelle.</w:t>
      </w:r>
    </w:p>
    <w:p>
      <w:r>
        <w:rPr>
          <w:b/>
        </w:rPr>
        <w:t xml:space="preserve">Ergebnis: </w:t>
      </w:r>
      <w:r>
        <w:t>Nachkommen mit beiden adipösen Eltern (Gruppe 4) hatten höchste Basiswerte. Männliche Nachkommen Gruppe 4: HR 3,72 (95%-CI 1,73–7,99) für Übergewicht/Adipositas, HR 2,46 (1,31–4,62) für zentrale Adipositas. Weibliche Nachkommen Gruppe 4: HR 4,60 (1,93–10,94) für Übergewicht/Adipositas. Jährliche Steigerungsraten unterschieden sich nicht konsistent zwischen Gruppen.</w:t>
      </w:r>
    </w:p>
    <w:p>
      <w:r>
        <w:rPr>
          <w:b/>
          <w:sz w:val="19"/>
        </w:rPr>
        <w:t xml:space="preserve">Übertragbarkeit: </w:t>
      </w:r>
      <w:r>
        <w:rPr>
          <w:sz w:val="19"/>
        </w:rPr>
        <w:t>China, nationale Ernährungs- und Gesundheitserhebung; Familienprävention relevant für alle Länder.</w:t>
      </w:r>
    </w:p>
    <w:p>
      <w:r>
        <w:rPr>
          <w:color w:val="5A7D3A"/>
          <w:sz w:val="18"/>
        </w:rPr>
        <w:t>https://pubmed.ncbi.nlm.nih.gov/42865493/</w:t>
      </w:r>
    </w:p>
    <w:p>
      <w:pPr>
        <w:pStyle w:val="Heading2"/>
      </w:pPr>
      <w:r>
        <w:t>Familiengestützte Lebensstiländerung reduzierte Schulfehlzeiten bei Kindern mit Adipositas nicht</w:t>
      </w:r>
    </w:p>
    <w:p>
      <w:r>
        <w:rPr>
          <w:i/>
          <w:color w:val="666666"/>
          <w:sz w:val="18"/>
        </w:rPr>
        <w:t>Nielsen LB et al.  ·  Eur J Pediatr  ·  13.10.2026  ·  PMID 42864531</w:t>
      </w:r>
    </w:p>
    <w:p>
      <w:r>
        <w:t>Dänische Kohortenstudie (2010–2020): 778 Kinder mit Adipositas (Alter 5–8 Jahre), 287 mit einjähriger Lebensstiländerung vs. 491 ohne Intervention; Schulfehlzeiten über 9 Jahre verglichen.</w:t>
      </w:r>
    </w:p>
    <w:p>
      <w:r>
        <w:rPr>
          <w:b/>
        </w:rPr>
        <w:t xml:space="preserve">Ergebnis: </w:t>
      </w:r>
      <w:r>
        <w:t>Kein signifikanter Unterschied in adjustierten Modellen zwischen Interventions- und Kontrollgruppe in den Jahren nach Intervention. Schulfehlzeiten spitzten sich in Jahr 7 zu (6,2 % vs. 5,0 %). Krankheitsbedingte Fehlzeiten waren der Hauptteil der Gesamtabwesenheit. Längere oder zielgerichtetere Interventionen könnten nötig sein.</w:t>
      </w:r>
    </w:p>
    <w:p>
      <w:r>
        <w:rPr>
          <w:b/>
          <w:sz w:val="19"/>
        </w:rPr>
        <w:t xml:space="preserve">Übertragbarkeit: </w:t>
      </w:r>
      <w:r>
        <w:rPr>
          <w:sz w:val="19"/>
        </w:rPr>
        <w:t>Dänemark, Registerdaten, Versorgungsprogramm im öffentlichen Gesundheitssystem – übertragbar auf DACH-Länder.</w:t>
      </w:r>
    </w:p>
    <w:p>
      <w:r>
        <w:rPr>
          <w:color w:val="5A7D3A"/>
          <w:sz w:val="18"/>
        </w:rPr>
        <w:t>https://pubmed.ncbi.nlm.nih.gov/42864531/</w:t>
      </w:r>
    </w:p>
    <w:p>
      <w:pPr>
        <w:pStyle w:val="Heading2"/>
      </w:pPr>
      <w:r>
        <w:t>Bioaktive Lipide differenzieren Übergewicht: Docosanoide und Arachidonsäure-Derivate assoziiert mit niedrigerem BMI</w:t>
      </w:r>
    </w:p>
    <w:p>
      <w:r>
        <w:rPr>
          <w:i/>
          <w:color w:val="666666"/>
          <w:sz w:val="18"/>
        </w:rPr>
        <w:t>Chitsazan M et al.  ·  Diabetes Obes Metab  ·  01.09.2026  ·  PMID 42677506</w:t>
      </w:r>
    </w:p>
    <w:p>
      <w:r>
        <w:t>Querschnittsstudie MESA (n=5.101, Durchschnittsalter 63 Jahre) mit nicht-zielgerichteter Massenspektrometrie: 811 Eicosanoide gemessen, Assoziationen mit BMI und 8 kardiometabolischen Merkmalen mittels multivariater linearer Regression, externe Validierung in Framingham und ARIC.</w:t>
      </w:r>
    </w:p>
    <w:p>
      <w:r>
        <w:rPr>
          <w:b/>
        </w:rPr>
        <w:t xml:space="preserve">Ergebnis: </w:t>
      </w:r>
      <w:r>
        <w:t>255 Eicosanoide und verwandte Metabolite assoziiert mit BMI (FDR q&lt;0,01). 82 zeigten konsistente Assoziationen über alle 3 Kohorten: 9 mit niedrigerem BMI (z. B. 19,20-DiHDPA, 20-Carboxy-Arachidonsäure, 5,6-diHETrE), 9 mit höherem BMI (z. B. HOME, 11-HOME, Adrensäure). 94 % der BMI-assoziierten Metabolite überlappten mit Taillenumfang, 36 % mit viszeralem Fettgewebe. Pro- und anti-inflammatorische Lipidwege differenzieren Adipositas-Phänotypen.</w:t>
      </w:r>
    </w:p>
    <w:p>
      <w:r>
        <w:rPr>
          <w:b/>
          <w:sz w:val="19"/>
        </w:rPr>
        <w:t xml:space="preserve">Übertragbarkeit: </w:t>
      </w:r>
      <w:r>
        <w:rPr>
          <w:sz w:val="19"/>
        </w:rPr>
        <w:t>USA-Kohorte; Mechanismus des Adipositas-Metabolismus relevant für Risikostratifizierung, Übertragbarkeit mittel.</w:t>
      </w:r>
    </w:p>
    <w:p>
      <w:r>
        <w:rPr>
          <w:color w:val="5A7D3A"/>
          <w:sz w:val="18"/>
        </w:rPr>
        <w:t>https://pubmed.ncbi.nlm.nih.gov/42677506/</w:t>
      </w:r>
    </w:p>
    <w:p>
      <w:pPr>
        <w:pStyle w:val="Heading1"/>
      </w:pPr>
      <w:r>
        <w:t>Aufgenommen am 13.10.2026</w:t>
      </w:r>
    </w:p>
    <w:p>
      <w:pPr>
        <w:pStyle w:val="Heading2"/>
      </w:pPr>
      <w:r>
        <w:t>CPAP bei Schlafapnoe und Adipositas: Pulmonalarteriendruck sinkt, aber Herzstruktur bleibt unverändert</w:t>
      </w:r>
    </w:p>
    <w:p>
      <w:r>
        <w:rPr>
          <w:i/>
          <w:color w:val="666666"/>
          <w:sz w:val="18"/>
        </w:rPr>
        <w:t>Li J et al.  ·  Can Respir J  ·  2026  ·  PMID 42861515</w:t>
      </w:r>
    </w:p>
    <w:p>
      <w:r>
        <w:t>Systematischer Review und Metaanalyse von 8 Studien (2 RCTs, 6 Kohorten, 574 Patienten) zur Wirkung von CPAP auf pulmonale Hämodynamik und linksventrikuläre Funktion bei OSA/OHS.</w:t>
      </w:r>
    </w:p>
    <w:p>
      <w:r>
        <w:rPr>
          <w:b/>
        </w:rPr>
        <w:t xml:space="preserve">Ergebnis: </w:t>
      </w:r>
      <w:r>
        <w:t>CPAP reduzierte signifikant den Pulmonalarteriendruck (MD −2,32 mmHg; 95%-KI −3,88 bis −0,76; p=0,004) und verbesserte die diastolische Funktion (E/A-Ratio MD +0,29; 95%-KI +0,09 bis +0,48; p=0,004). Keine signifikanten Effekte auf linksventrikuläre Masse (p=0,27) oder Ejektionsfraktion (p=0,61). Befunde waren robust in Sensitivitätsanalysen.</w:t>
      </w:r>
    </w:p>
    <w:p>
      <w:r>
        <w:rPr>
          <w:b/>
          <w:sz w:val="19"/>
        </w:rPr>
        <w:t xml:space="preserve">Übertragbarkeit: </w:t>
      </w:r>
      <w:r>
        <w:rPr>
          <w:sz w:val="19"/>
        </w:rPr>
        <w:t>China, aber Systematik und Endergebnisse sind behandlungsunabhängig übertragbar</w:t>
      </w:r>
    </w:p>
    <w:p>
      <w:r>
        <w:rPr>
          <w:color w:val="5A7D3A"/>
          <w:sz w:val="18"/>
        </w:rPr>
        <w:t>https://pubmed.ncbi.nlm.nih.gov/42861515/</w:t>
      </w:r>
    </w:p>
    <w:p>
      <w:pPr>
        <w:pStyle w:val="Heading2"/>
      </w:pPr>
      <w:r>
        <w:t>Antipsychotika und Adipositas: Strukturierte Diagnostik und Metformin in der psychiatrischen Praxis</w:t>
      </w:r>
    </w:p>
    <w:p>
      <w:r>
        <w:rPr>
          <w:i/>
          <w:color w:val="666666"/>
          <w:sz w:val="18"/>
        </w:rPr>
        <w:t>Wichniak A et al.  ·  Psychiatr Pol  ·  30.08.2026  ·  PMID 42857934</w:t>
      </w:r>
    </w:p>
    <w:p>
      <w:r>
        <w:t>Klinische Handlungsempfehlungen der Polnischen Psychiatrischen Gesellschaft zu Prävention metabolischer Störungen bei Patienten unter Antipsychotika mit konkretisierten Überwachungsintervallen und Therapieempfehlungen.</w:t>
      </w:r>
    </w:p>
    <w:p>
      <w:r>
        <w:rPr>
          <w:b/>
        </w:rPr>
        <w:t xml:space="preserve">Ergebnis: </w:t>
      </w:r>
      <w:r>
        <w:t>Cardiometabolische Risikoerfassung (Gewicht, Taillenumfang, Blutdruck, Blutzucker, HbA1c, Lipidprofil) vor Therapiestart, dann in Woche 6, 12 und dann jährlich empfohlen. Bei Gewichtszunahme und Risikofaktoren: Metformin 1.000–2.000 mg/Tag als beste dokumentierte, sichere und kostengünstige Präventionsmethode; Adipöse Patienten sollten eine wirksame Pharmakotherapie nach aktuellen Leitlinien erhalten.</w:t>
      </w:r>
    </w:p>
    <w:p>
      <w:r>
        <w:rPr>
          <w:b/>
          <w:sz w:val="19"/>
        </w:rPr>
        <w:t xml:space="preserve">Übertragbarkeit: </w:t>
      </w:r>
      <w:r>
        <w:rPr>
          <w:sz w:val="19"/>
        </w:rPr>
        <w:t>Polen, europäisches Versicherungssystem, psychiatrische Standardversorgung</w:t>
      </w:r>
    </w:p>
    <w:p>
      <w:r>
        <w:rPr>
          <w:color w:val="5A7D3A"/>
          <w:sz w:val="18"/>
        </w:rPr>
        <w:t>https://pubmed.ncbi.nlm.nih.gov/42857934/</w:t>
      </w:r>
    </w:p>
    <w:p>
      <w:pPr>
        <w:pStyle w:val="Heading2"/>
      </w:pPr>
      <w:r>
        <w:t>Gewichtsmanagement in der Schwangerschaft: Minderheitenangehörige Frauen in UK erhalten keine kulturgerechte Unterstützung</w:t>
      </w:r>
    </w:p>
    <w:p>
      <w:r>
        <w:rPr>
          <w:i/>
          <w:color w:val="666666"/>
          <w:sz w:val="18"/>
        </w:rPr>
        <w:t>Morsy B et al.  ·  Front Public Health  ·  25.09.2026  ·  PMID 42856522</w:t>
      </w:r>
    </w:p>
    <w:p>
      <w:r>
        <w:t>Scoping Review zur Gewichtskontrolle in der Schwangerschaft bei ethnischen Minderheiten im UK: Nur 3 Studien mit 1.741 Teilnehmerinnen gefunden, alle ohne kulturelle Anpassung und mit unzureichenden ethnischen Untergruppen-Analysen.</w:t>
      </w:r>
    </w:p>
    <w:p>
      <w:r>
        <w:rPr>
          <w:b/>
        </w:rPr>
        <w:t xml:space="preserve">Ergebnis: </w:t>
      </w:r>
      <w:r>
        <w:t>Von 3 eingeschlossenen Studien (2016–2025) zeigten alle unzureichende kulturelle Anpassung und fragmentierte ethnisch stratifizierte Datenberichte. Minderheitenangehörige Frauen zeigten niedrigere Beteiligung; keine Studie konnte nachweisen, ob Interventionen ethnische Unterschiede in Gestationsdiabetes-Ergebnissen reduzierten. Die Evidenzlücke zu kulturgerechten Programmen ist erheblich.</w:t>
      </w:r>
    </w:p>
    <w:p>
      <w:r>
        <w:rPr>
          <w:b/>
          <w:sz w:val="19"/>
        </w:rPr>
        <w:t xml:space="preserve">Übertragbarkeit: </w:t>
      </w:r>
      <w:r>
        <w:rPr>
          <w:sz w:val="19"/>
        </w:rPr>
        <w:t>Vereinigtes Königreich, vergleichbares Sozialversicherungssystem, relevante Equity-Fragestellung</w:t>
      </w:r>
    </w:p>
    <w:p>
      <w:r>
        <w:rPr>
          <w:color w:val="5A7D3A"/>
          <w:sz w:val="18"/>
        </w:rPr>
        <w:t>https://pubmed.ncbi.nlm.nih.gov/42856522/</w:t>
      </w:r>
    </w:p>
    <w:p>
      <w:pPr>
        <w:pStyle w:val="Heading2"/>
      </w:pPr>
      <w:r>
        <w:t>Magenverweilstörung nach Pankreatoduodenektomie: Zwei Anastomose-Techniken zeigen keinen Unterschied</w:t>
      </w:r>
    </w:p>
    <w:p>
      <w:r>
        <w:rPr>
          <w:i/>
          <w:color w:val="666666"/>
          <w:sz w:val="18"/>
        </w:rPr>
        <w:t>Robin F et al.  ·  Ann Surg  ·  01.11.2026  ·  PMID 42832388</w:t>
      </w:r>
    </w:p>
    <w:p>
      <w:r>
        <w:t>Randomisierte kontrolierte Studie an 2 französischen Hochvolumen-Zentren mit 158 Patienten (79 pro Gruppe), die zwei Techniken der Magenverweilstörung nach Pankreatoduodenektomie verglichen.</w:t>
      </w:r>
    </w:p>
    <w:p>
      <w:r>
        <w:rPr>
          <w:b/>
        </w:rPr>
        <w:t xml:space="preserve">Ergebnis: </w:t>
      </w:r>
      <w:r>
        <w:t>Magenverweilstörung (DGE) trat bei 38,0% nach side-to-side und 30,4% nach end-to-side Technik auf (RR 1,25; 95%-KI 0,81–1,94; p=0,314). Sekundäre Endpunkte (Fistelrate, Reinvasionen, Mortalität, Lebensqualität nach GIQLI) unterschieden sich nicht signifikant zwischen Gruppen. Ernährungsparameter und Lebensqualität waren vergleichbar.</w:t>
      </w:r>
    </w:p>
    <w:p>
      <w:r>
        <w:rPr>
          <w:b/>
          <w:sz w:val="19"/>
        </w:rPr>
        <w:t xml:space="preserve">Übertragbarkeit: </w:t>
      </w:r>
      <w:r>
        <w:rPr>
          <w:sz w:val="19"/>
        </w:rPr>
        <w:t>Frankreich, vergleichbares Gesundheitssystem, hochspezialisierte chirurgische Versorgung</w:t>
      </w:r>
    </w:p>
    <w:p>
      <w:r>
        <w:rPr>
          <w:color w:val="5A7D3A"/>
          <w:sz w:val="18"/>
        </w:rPr>
        <w:t>https://pubmed.ncbi.nlm.nih.gov/42832388/</w:t>
      </w:r>
    </w:p>
    <w:p>
      <w:pPr>
        <w:pStyle w:val="Heading2"/>
      </w:pPr>
      <w:r>
        <w:t>Frühe Menarche und Menopause: Taillenumfang mediiert kardiovaskuläres Risiko bei postmenopausalen Frauen</w:t>
      </w:r>
    </w:p>
    <w:p>
      <w:r>
        <w:rPr>
          <w:i/>
          <w:color w:val="666666"/>
          <w:sz w:val="18"/>
        </w:rPr>
        <w:t>Borrowman JD et al.  ·  J Am Heart Assoc  ·  06.10.2026  ·  PMID 42786622</w:t>
      </w:r>
    </w:p>
    <w:p>
      <w:r>
        <w:t>Prospektive Kohortenstudie mit 119.182 postmenopausalen Frauen aus WHI (Oktober 1993–Januar 2025 Follow-up); Untersuchung von Reproduktionsmerkmalen und abdominaler Adipositas als Mediatoren des CVD-Risikos.</w:t>
      </w:r>
    </w:p>
    <w:p>
      <w:r>
        <w:rPr>
          <w:b/>
        </w:rPr>
        <w:t xml:space="preserve">Ergebnis: </w:t>
      </w:r>
      <w:r>
        <w:t>Über Median 12,8 Jahre traten 12.731 kardiovaskuläre Ereignisse auf (Rate 10,4/1.000 Personenjahre). Frühe Menarche (HR 1,07; 95%-KI 1,01–1,15), frühe Menopause (HR 1,22; 95%-KI 1,11–1,35) und kurze Reproduktionslifespan (HR 1,21; 95%-KI 1,13–1,29) waren mit CVD assoziiert. Taillenumfang war signifikanter Mediator aller drei Assoziationen. Diese Befunde zeigen, dass abdominale Adipositas einen wesentlichen Pfad zwischen Reproduktionsfaktoren und kardiovaskulärem Risiko darstellt.</w:t>
      </w:r>
    </w:p>
    <w:p>
      <w:r>
        <w:rPr>
          <w:b/>
          <w:sz w:val="19"/>
        </w:rPr>
        <w:t xml:space="preserve">Übertragbarkeit: </w:t>
      </w:r>
      <w:r>
        <w:rPr>
          <w:sz w:val="19"/>
        </w:rPr>
        <w:t>USA, aber Fragestellung und Medations-Befunde sind universell übertragbar</w:t>
      </w:r>
    </w:p>
    <w:p>
      <w:r>
        <w:rPr>
          <w:color w:val="5A7D3A"/>
          <w:sz w:val="18"/>
        </w:rPr>
        <w:t>https://pubmed.ncbi.nlm.nih.gov/42786622/</w:t>
      </w:r>
    </w:p>
    <w:p>
      <w:pPr>
        <w:pStyle w:val="Heading2"/>
      </w:pPr>
      <w:r>
        <w:t>Berberin-Kombipräparat: Geringe Verbesserung von Insulinsensitivität und Körperfettmasse über 12 Wochen</w:t>
      </w:r>
    </w:p>
    <w:p>
      <w:r>
        <w:rPr>
          <w:i/>
          <w:color w:val="666666"/>
          <w:sz w:val="18"/>
        </w:rPr>
        <w:t>Xenos K et al.  ·  Nutrients  ·  27.08.2026  ·  PMID 42738972</w:t>
      </w:r>
    </w:p>
    <w:p>
      <w:r>
        <w:t>Randomisierte kontrollierte 12-Wochen-Studie mit 93 griechischen Erwachsenen mit Adipositas; Kombination von Berberin (1.000 mg), Maulbeerbaum-Extrakt (400 mg) und Chrom-Pikotinat (0,644 mg) versus Placebo.</w:t>
      </w:r>
    </w:p>
    <w:p>
      <w:r>
        <w:rPr>
          <w:b/>
        </w:rPr>
        <w:t xml:space="preserve">Ergebnis: </w:t>
      </w:r>
      <w:r>
        <w:t>Aktive Gruppe vs. Placebo zeigte signifikante Reduktion: BMI −1,24 kg/m² (95%-KI −2,15 bis −0,33), Gesamtkörperfett −2,35 kg (95%-KI −4,12 bis −0,58), viszerales Fett −0,92 Einheiten (95%-KI −1,74 bis −0,10). Insulinsensitivität verbesserte sich um 28% stärker in der aktiven Gruppe (geometrisches Mittel-Ratio 1,28; 95%-KI 1,14–1,44). Einzelkomponenten-Beiträge ungeklärt.</w:t>
      </w:r>
    </w:p>
    <w:p>
      <w:r>
        <w:rPr>
          <w:b/>
          <w:sz w:val="19"/>
        </w:rPr>
        <w:t xml:space="preserve">Übertragbarkeit: </w:t>
      </w:r>
      <w:r>
        <w:rPr>
          <w:sz w:val="19"/>
        </w:rPr>
        <w:t>Griechenland, europäisches System, aber geringe Effektstärke und kurze Dauer</w:t>
      </w:r>
    </w:p>
    <w:p>
      <w:r>
        <w:rPr>
          <w:color w:val="5A7D3A"/>
          <w:sz w:val="18"/>
        </w:rPr>
        <w:t>https://pubmed.ncbi.nlm.nih.gov/42738972/</w:t>
      </w:r>
    </w:p>
    <w:p>
      <w:pPr>
        <w:pStyle w:val="Heading1"/>
      </w:pPr>
      <w:r>
        <w:t>Aufgenommen am 12.10.2026</w:t>
      </w:r>
    </w:p>
    <w:p>
      <w:pPr>
        <w:pStyle w:val="Heading2"/>
      </w:pPr>
      <w:r>
        <w:t>Antipsychotika: Strukturierte Prävention metabolischer Störungen senkt Adipositas-Risiko</w:t>
      </w:r>
    </w:p>
    <w:p>
      <w:r>
        <w:rPr>
          <w:i/>
          <w:color w:val="666666"/>
          <w:sz w:val="18"/>
        </w:rPr>
        <w:t>Wichniak A et al.  ·  Psychiatr Pol  ·  30.08.2026  ·  PMID 42857933</w:t>
      </w:r>
    </w:p>
    <w:p>
      <w:r>
        <w:t>Polnische Leitlinien für die Prävention von Adipositas und metabolischen Störungen bei Patienten unter Antipsychotika, basierend auf Expertise und Literatur.</w:t>
      </w:r>
    </w:p>
    <w:p>
      <w:r>
        <w:rPr>
          <w:b/>
        </w:rPr>
        <w:t xml:space="preserve">Ergebnis: </w:t>
      </w:r>
      <w:r>
        <w:t>Sieben empfohlene Präventionsmaßnahmen: Ernährungsberatung, regelmäßige Bewegung, Mahlzeitenplanung, Achtsamkeit, Selbsthilfgruppen und Fortschrittsmonitoring. Bei hohem Risiko werden pharmakologische Interventionen (Teil 2) empfohlen. Psychiater sollten aktiv zur Prävention beitragen.</w:t>
      </w:r>
    </w:p>
    <w:p>
      <w:r>
        <w:rPr>
          <w:b/>
          <w:sz w:val="19"/>
        </w:rPr>
        <w:t xml:space="preserve">Übertragbarkeit: </w:t>
      </w:r>
      <w:r>
        <w:rPr>
          <w:sz w:val="19"/>
        </w:rPr>
        <w:t>Polen, strukturiertes Präventionssystem, übertragbar auf deutschsprachige Länder mit ähnlichem Versorgungsauftrag</w:t>
      </w:r>
    </w:p>
    <w:p>
      <w:r>
        <w:rPr>
          <w:color w:val="5A7D3A"/>
          <w:sz w:val="18"/>
        </w:rPr>
        <w:t>https://pubmed.ncbi.nlm.nih.gov/42857933/</w:t>
      </w:r>
    </w:p>
    <w:p>
      <w:pPr>
        <w:pStyle w:val="Heading1"/>
      </w:pPr>
      <w:r>
        <w:t>Aufgenommen am 11.10.2026</w:t>
      </w:r>
    </w:p>
    <w:p>
      <w:pPr>
        <w:pStyle w:val="Heading2"/>
      </w:pPr>
      <w:r>
        <w:t>Obstruktive Schlafapnoe und Insulinresistenz bei Kindern mit Prader-Willi: SPISE-Index als Marker</w:t>
      </w:r>
    </w:p>
    <w:p>
      <w:r>
        <w:rPr>
          <w:i/>
          <w:color w:val="666666"/>
          <w:sz w:val="18"/>
        </w:rPr>
        <w:t>Güney AZ et al.  ·  Eur J Pediatr  ·  09.10.2026  ·  PMID 42855587</w:t>
      </w:r>
    </w:p>
    <w:p>
      <w:r>
        <w:t>Türkische Querschnittsstudie vergleicht SPISE und HOMA-IR als Insulinresistenzmarker und deren Assoziation mit OSA-Schweregrad bei 31 PWS-Kindern und 47 nicht-syndromischen Kindern.</w:t>
      </w:r>
    </w:p>
    <w:p>
      <w:r>
        <w:rPr>
          <w:b/>
        </w:rPr>
        <w:t xml:space="preserve">Ergebnis: </w:t>
      </w:r>
      <w:r>
        <w:t>Bei PWS-Kindern: oAHI korrelierte invers mit SPISE (ρ = −0,378, p = 0,036), in multivariablem Modell blieb höherer oAHI mit niedrigerem SPISE assoziiert (B = −0,154, p = 0,015); ODI korrelierte mit SPISE (ρ = −0,427, p = 0,017) aber nicht HOMA-IR. SPISE zeigt stärkere Assoziationen mit OSA-Schweregrad, verdient weitere Validierung.</w:t>
      </w:r>
    </w:p>
    <w:p>
      <w:r>
        <w:rPr>
          <w:b/>
          <w:sz w:val="19"/>
        </w:rPr>
        <w:t xml:space="preserve">Übertragbarkeit: </w:t>
      </w:r>
      <w:r>
        <w:rPr>
          <w:sz w:val="19"/>
        </w:rPr>
        <w:t>Europäische Fachdisziplin (Pädiatrie), seltenes Syndrom, kleinere Stichprobe mit Validierungsbedarf</w:t>
      </w:r>
    </w:p>
    <w:p>
      <w:r>
        <w:rPr>
          <w:color w:val="5A7D3A"/>
          <w:sz w:val="18"/>
        </w:rPr>
        <w:t>https://pubmed.ncbi.nlm.nih.gov/42855587/</w:t>
      </w:r>
    </w:p>
    <w:p>
      <w:pPr>
        <w:pStyle w:val="Heading2"/>
      </w:pPr>
      <w:r>
        <w:t>Semaglutid plus Dapagliflozin bei Typ-2-Diabetes mit Nierenerkrankung: 8-Wochen-Effekte</w:t>
      </w:r>
    </w:p>
    <w:p>
      <w:r>
        <w:rPr>
          <w:i/>
          <w:color w:val="666666"/>
          <w:sz w:val="18"/>
        </w:rPr>
        <w:t>Gong C et al.  ·  Medicine (Baltimore)  ·  09.10.2026  ·  PMID 42854065</w:t>
      </w:r>
    </w:p>
    <w:p>
      <w:r>
        <w:t>Retrospektive Beobachtungsstudie vergleicht Kombinationstherapie mit Semaglutid und Dapagliflozin gegen je Monotherapie bei 126 Patienten (3×42 pro Arm) mit Typ-2-Diabetes und chronischer Nierenerkrankung (CKD) über 8 Wochen.</w:t>
      </w:r>
    </w:p>
    <w:p>
      <w:r>
        <w:rPr>
          <w:b/>
        </w:rPr>
        <w:t xml:space="preserve">Ergebnis: </w:t>
      </w:r>
      <w:r>
        <w:t>Nach 8 Wochen zeigte Kombinationsgruppe signifikant stärkere Reduktionen als je Monotherapie: Nüchternglukose (sig. in allen 3 Gruppen), HbA1c, Harnstoff, Kreatinin, 24-h-Proteinurie, Entzündungsmarker (ESR, IL-6, hs-CRP). Kombinationsgruppe höhere klinische Ansprechrate. Keine erhöhten Nebenwirkungen in 8 Wochen; aber retrospektiv, kleine Stichprobe, kurze Beobachtung – long-term renale Benefits nicht etabliert.</w:t>
      </w:r>
    </w:p>
    <w:p>
      <w:r>
        <w:rPr>
          <w:b/>
          <w:sz w:val="19"/>
        </w:rPr>
        <w:t xml:space="preserve">Übertragbarkeit: </w:t>
      </w:r>
      <w:r>
        <w:rPr>
          <w:sz w:val="19"/>
        </w:rPr>
        <w:t>China, retrospektiv, kleine Stichprobe, kurze Dauer – begrenzte Übertragbarkeit</w:t>
      </w:r>
    </w:p>
    <w:p>
      <w:r>
        <w:rPr>
          <w:color w:val="5A7D3A"/>
          <w:sz w:val="18"/>
        </w:rPr>
        <w:t>https://pubmed.ncbi.nlm.nih.gov/42854065/</w:t>
      </w:r>
    </w:p>
    <w:p>
      <w:pPr>
        <w:pStyle w:val="Heading2"/>
      </w:pPr>
      <w:r>
        <w:t>BMI und Immuntherapie-Antwort bei Krebs: Überraschend vorteilhaft – aber mit Unsicherheit</w:t>
      </w:r>
    </w:p>
    <w:p>
      <w:r>
        <w:rPr>
          <w:i/>
          <w:color w:val="666666"/>
          <w:sz w:val="18"/>
        </w:rPr>
        <w:t>Sun S et al.  ·  Front Immunol  ·  24.09.2026  ·  PMID 42851698</w:t>
      </w:r>
    </w:p>
    <w:p>
      <w:r>
        <w:t>Systematischer Review und Dosis-Response-Metaanalyse von 61 Studien mit 46.572 Krebspatienten untersucht BMI als Prognosefaktor unter Immuncheckpoint-Inhibitor (ICI)-Therapie für Gesamtüberleben (OS), progressionsfreies Überleben (PFS), Ansprechen und Nebenwirkungen.</w:t>
      </w:r>
    </w:p>
    <w:p>
      <w:r>
        <w:rPr>
          <w:b/>
        </w:rPr>
        <w:t xml:space="preserve">Ergebnis: </w:t>
      </w:r>
      <w:r>
        <w:t>Höherer BMI assoziiert mit günstigerem OS (HR 0,74, 95% KI 0,67–0,82, p&lt;0,001, I²=70,6%) und PFS (HR 0,78, 95% KI 0,69–0,89, p&lt;0,001, I²=60,3%), besonders Adipositas vs. Normalgewicht. Pro 5 kg/m² BMI-Anstieg: PFS verbessert (HR 0,87, 95% KI 0,81–0,95, p&lt;0,001), OS nicht (HR 0,91, ns). Aber Vorhersageintervalle umfassen Nullwert; Assoziationen mit Ansprechen und Grad-3+ Nebenwirkungen inkonsistent. Vorsichtige Interpretation erforderlich – kein kausaler Schluss.</w:t>
      </w:r>
    </w:p>
    <w:p>
      <w:r>
        <w:rPr>
          <w:b/>
          <w:sz w:val="19"/>
        </w:rPr>
        <w:t xml:space="preserve">Übertragbarkeit: </w:t>
      </w:r>
      <w:r>
        <w:rPr>
          <w:sz w:val="19"/>
        </w:rPr>
        <w:t>Internationale Evidenz, Krebsimmuntherapie, Assoziationen nicht kausal – begrenzte Versorgungsrelevanz</w:t>
      </w:r>
    </w:p>
    <w:p>
      <w:r>
        <w:rPr>
          <w:color w:val="5A7D3A"/>
          <w:sz w:val="18"/>
        </w:rPr>
        <w:t>https://pubmed.ncbi.nlm.nih.gov/42851698/</w:t>
      </w:r>
    </w:p>
    <w:p>
      <w:pPr>
        <w:pStyle w:val="Heading2"/>
      </w:pPr>
      <w:r>
        <w:t>Hyperphagia in Prader-Willi-Syndrom: multidimensionale Bewertung und Versorgungsansätze</w:t>
      </w:r>
    </w:p>
    <w:p>
      <w:r>
        <w:rPr>
          <w:i/>
          <w:color w:val="666666"/>
          <w:sz w:val="18"/>
        </w:rPr>
        <w:t>Tauber M et al.  ·  Orphanet J Rare Dis  ·  05.10.2026  ·  PMID 42834406</w:t>
      </w:r>
    </w:p>
    <w:p>
      <w:r>
        <w:t>Internationale Expertengruppe entwickelt Konzeptualisierung der Hyperphagia als komplexe, multidimensionale Störung mit integrierten biologischen, Verhaltens- und Umgebungsansätzen zur Versorgung.</w:t>
      </w:r>
    </w:p>
    <w:p>
      <w:r>
        <w:rPr>
          <w:b/>
        </w:rPr>
        <w:t xml:space="preserve">Ergebnis: </w:t>
      </w:r>
      <w:r>
        <w:t>Zentrale Erkenntnisse: Hyperphagia in PWS ist multidimensional (beeinträchtigte Sättigungssignale, Belohnungsneurozirkuitry, autonome Dysfunktion); strukturierte Food Environment und Übergänge zur erwachsenenmedizinischen Versorgung sind kritisch; validierte Messinstrumente (Hyperphagia Questionnaire, HQ-CT) werden empfohlen.</w:t>
      </w:r>
    </w:p>
    <w:p>
      <w:r>
        <w:rPr>
          <w:b/>
          <w:sz w:val="19"/>
        </w:rPr>
        <w:t xml:space="preserve">Übertragbarkeit: </w:t>
      </w:r>
      <w:r>
        <w:rPr>
          <w:sz w:val="19"/>
        </w:rPr>
        <w:t>Europäische Referenzzentren, vergleichbare Versorgungsstruktur für seltene Erkrankungen</w:t>
      </w:r>
    </w:p>
    <w:p>
      <w:r>
        <w:rPr>
          <w:color w:val="5A7D3A"/>
          <w:sz w:val="18"/>
        </w:rPr>
        <w:t>https://pubmed.ncbi.nlm.nih.gov/42834406/</w:t>
      </w:r>
    </w:p>
    <w:p>
      <w:pPr>
        <w:pStyle w:val="Heading2"/>
      </w:pPr>
      <w:r>
        <w:t>Übergewicht bei Kindern unter 5 Jahren in Indien: Anstieg bis 2021, dann Rückgang</w:t>
      </w:r>
    </w:p>
    <w:p>
      <w:r>
        <w:rPr>
          <w:i/>
          <w:color w:val="666666"/>
          <w:sz w:val="18"/>
        </w:rPr>
        <w:t>Rai RK et al.  ·  JAMA Netw Open  ·  01.09.2026  ·  PMID 42809284</w:t>
      </w:r>
    </w:p>
    <w:p>
      <w:r>
        <w:t>Längsschnittanalyse des National Family Health Survey über 18 Jahre (2006–2024) untersucht Prävalenz von Übergewicht und Adipositas bei indischen Kleinkindern und Machbarkeit des 2030 Global Nutrition Target (≤5% Übergewicht).</w:t>
      </w:r>
    </w:p>
    <w:p>
      <w:r>
        <w:rPr>
          <w:b/>
        </w:rPr>
        <w:t xml:space="preserve">Ergebnis: </w:t>
      </w:r>
      <w:r>
        <w:t>N=467.995 Kinder (2006–2021): Übergewichtsprävalenz stieg von 1,55% (2006) auf 3,42% (2021), fiel dann auf 1,3% (2024); Adipositas stieg von 0,50% auf 1,30%. National ist Indien auf dem Weg zum 2030-Ziel, aber 9 Bundesstaaten/UTs (Arunachal Pradesh, Assam, Himachal Pradesh, Jammu u. Kashmir, Kerala, Mizoram, Nagaland, Sikkim, Tripura) zeigen niedrig bis moderat Erreichungswahrscheinlichkeit. Subnationaler Disparitäten erfordern zielgerichtete Interventionen.</w:t>
      </w:r>
    </w:p>
    <w:p>
      <w:r>
        <w:rPr>
          <w:b/>
          <w:sz w:val="19"/>
        </w:rPr>
        <w:t xml:space="preserve">Übertragbarkeit: </w:t>
      </w:r>
      <w:r>
        <w:rPr>
          <w:sz w:val="19"/>
        </w:rPr>
        <w:t>Indien, Datenqualität begrenzt, Global Health Relevanz aber gering für deutsches System</w:t>
      </w:r>
    </w:p>
    <w:p>
      <w:r>
        <w:rPr>
          <w:color w:val="5A7D3A"/>
          <w:sz w:val="18"/>
        </w:rPr>
        <w:t>https://pubmed.ncbi.nlm.nih.gov/42809284/</w:t>
      </w:r>
    </w:p>
    <w:p>
      <w:pPr>
        <w:pStyle w:val="Heading2"/>
      </w:pPr>
      <w:r>
        <w:t>CT-Adipositätsmessung prognostiziert Intensivverweildauer nach Trauma besser als BMI</w:t>
      </w:r>
    </w:p>
    <w:p>
      <w:r>
        <w:rPr>
          <w:i/>
          <w:color w:val="666666"/>
          <w:sz w:val="18"/>
        </w:rPr>
        <w:t>Zander C et al.  ·  Injury  ·  22.08.2026  ·  PMID 42648018</w:t>
      </w:r>
    </w:p>
    <w:p>
      <w:r>
        <w:t>Deutsche Kohortenstudie untersucht, ob CT-Messungen viszeraler und subkutaner Adipositas (VATI, SATI, AATI) die Intensivverweildauer nach moderatem bis schwerem Trauma besser vorhersagen als BMI.</w:t>
      </w:r>
    </w:p>
    <w:p>
      <w:r>
        <w:rPr>
          <w:b/>
        </w:rPr>
        <w:t xml:space="preserve">Ergebnis: </w:t>
      </w:r>
      <w:r>
        <w:t>142 Traumapatienten: VATI und SATI korrelieren signifikant mit ICU-Verweildauer (ρ = 0,25–0,27, p ≤ 0,003) und Beatmungsdauer (ρ = 0,19–0,24, p ≤ 0,003), während BMI nicht korreliert. AATI bleibt in kombiniertem Modell signifikant (+15,5% pro SD für ICU-LOS, p = 0,016). CT-basierte Körperzusammensetzung verbessert individuelle Risikoeinschätzung.</w:t>
      </w:r>
    </w:p>
    <w:p>
      <w:r>
        <w:rPr>
          <w:b/>
          <w:sz w:val="19"/>
        </w:rPr>
        <w:t xml:space="preserve">Übertragbarkeit: </w:t>
      </w:r>
      <w:r>
        <w:rPr>
          <w:sz w:val="19"/>
        </w:rPr>
        <w:t>Deutsche Klinikdaten, deutsche Versorgungspraxis, direkt übertragbar</w:t>
      </w:r>
    </w:p>
    <w:p>
      <w:r>
        <w:rPr>
          <w:color w:val="5A7D3A"/>
          <w:sz w:val="18"/>
        </w:rPr>
        <w:t>https://pubmed.ncbi.nlm.nih.gov/42648018/</w:t>
      </w:r>
    </w:p>
    <w:p>
      <w:pPr>
        <w:pStyle w:val="Heading2"/>
      </w:pPr>
      <w:r>
        <w:t>Bauchfett und Griffstärke gemeinsam vorhersagend für Herz-Kreislauf-Erkrankungen</w:t>
      </w:r>
    </w:p>
    <w:p>
      <w:r>
        <w:rPr>
          <w:i/>
          <w:color w:val="666666"/>
          <w:sz w:val="18"/>
        </w:rPr>
        <w:t>Luo J et al.  ·  Diabetes Obes Metab  ·  25.08.2026  ·  PMID 42642342</w:t>
      </w:r>
    </w:p>
    <w:p>
      <w:r>
        <w:t>UK Biobank Kohortenstudie untersucht gemeinsame und separate Assoziationen von Taillenumfang (WC) und Griffstärke (GS) mit atherosklerotischen Herz-Kreislauf-Erkrankungen (ASCVD) über 14,8 Jahre.</w:t>
      </w:r>
    </w:p>
    <w:p>
      <w:r>
        <w:rPr>
          <w:b/>
        </w:rPr>
        <w:t xml:space="preserve">Ergebnis: </w:t>
      </w:r>
      <w:r>
        <w:t>27.189 Fälle von ASCVD unter 271.061 Teilnehmern: Hohes WC (HR 1,35, 95% KI 1,31–1,39) und niedrige GS (HR 1,14, 95% KI 1,11–1,17) waren je unabhängig assoziiert. Kombination höchstes Risiko (HR 1,53, 95% KI 1,46–1,61) mit Hinweis auf additive Interaktion (RERI 0,11, 95% KI 0,03–0,19). Multi-Omics-Analysen zeigen gemeinsame entzündliche und metabolische Mediatoren (Proteine, Metabolite).</w:t>
      </w:r>
    </w:p>
    <w:p>
      <w:r>
        <w:rPr>
          <w:b/>
          <w:sz w:val="19"/>
        </w:rPr>
        <w:t xml:space="preserve">Übertragbarkeit: </w:t>
      </w:r>
      <w:r>
        <w:rPr>
          <w:sz w:val="19"/>
        </w:rPr>
        <w:t>UK Biobank, vergleichbar zu Deutschland, aussagekräftige Versorgungsrelevanz</w:t>
      </w:r>
    </w:p>
    <w:p>
      <w:r>
        <w:rPr>
          <w:color w:val="5A7D3A"/>
          <w:sz w:val="18"/>
        </w:rPr>
        <w:t>https://pubmed.ncbi.nlm.nih.gov/42642342/</w:t>
      </w:r>
    </w:p>
    <w:p>
      <w:pPr>
        <w:pStyle w:val="Heading1"/>
      </w:pPr>
      <w:r>
        <w:t>Aufgenommen am 10.10.2026</w:t>
      </w:r>
    </w:p>
    <w:p>
      <w:pPr>
        <w:pStyle w:val="Heading2"/>
      </w:pPr>
      <w:r>
        <w:t>Strukturiertes Adipositas-Programm im häuslichen Umfeld via Medicaid möglich</w:t>
      </w:r>
    </w:p>
    <w:p>
      <w:r>
        <w:rPr>
          <w:i/>
          <w:color w:val="666666"/>
          <w:sz w:val="18"/>
        </w:rPr>
        <w:t>Button AM et al.  ·  Transl Behav Med  ·  07.01.2026  ·  PMID 42853644</w:t>
      </w:r>
    </w:p>
    <w:p>
      <w:r>
        <w:t>Demonstrationsprojekt: Beweise-basiertes 12-Monatsprogramm PATH in Häusern von Kindern (6–12 Jahre, BMI ≥95. Perzentil) durch Home-Health-Fachkräfte integriert, über Medicaid abgerechnet; Dokumentation von Adaptionen gemäß FRAME-IS.</w:t>
      </w:r>
    </w:p>
    <w:p>
      <w:r>
        <w:rPr>
          <w:b/>
        </w:rPr>
        <w:t xml:space="preserve">Ergebnis: </w:t>
      </w:r>
      <w:r>
        <w:t>10 Familien mit durchschnittlich 8±7 Sitzungen (Spanne 2–21). BMI-Perzentil stabilisiert, systolischer Blutdruck verbessert (n=5 nach 6 Monaten), Lebensqualität gewonnen. Hauptproblem: Verbleib in Behandlung.</w:t>
      </w:r>
    </w:p>
    <w:p>
      <w:r>
        <w:rPr>
          <w:b/>
          <w:sz w:val="19"/>
        </w:rPr>
        <w:t xml:space="preserve">Übertragbarkeit: </w:t>
      </w:r>
      <w:r>
        <w:rPr>
          <w:sz w:val="19"/>
        </w:rPr>
        <w:t>USA, zeigt Machbarkeit von Versorgung im Wohnumfeld; deutsche Krankenkassen ersetzen solche Hausbesuche nicht systematisch.</w:t>
      </w:r>
    </w:p>
    <w:p>
      <w:r>
        <w:rPr>
          <w:color w:val="5A7D3A"/>
          <w:sz w:val="18"/>
        </w:rPr>
        <w:t>https://pubmed.ncbi.nlm.nih.gov/42853644/</w:t>
      </w:r>
    </w:p>
    <w:p>
      <w:pPr>
        <w:pStyle w:val="Heading2"/>
      </w:pPr>
      <w:r>
        <w:t>Schulbasierte Verhaltensintervention verringerte BMI-Anstieg bei Grundschülern</w:t>
      </w:r>
    </w:p>
    <w:p>
      <w:r>
        <w:rPr>
          <w:i/>
          <w:color w:val="666666"/>
          <w:sz w:val="18"/>
        </w:rPr>
        <w:t>Wang ML et al.  ·  JAMA Netw Open  ·  01.10.2026  ·  PMID 42853568</w:t>
      </w:r>
    </w:p>
    <w:p>
      <w:r>
        <w:t>Cluster-randomisierte Studie an 437 Schulkindern (8–13 Jahre) in Boys &amp; Girls Clubs: 12 Sitzungen zur Reduktion zuckerhaltiger Getränke über 6 Wochen, vergleichend zu Regelangebot.</w:t>
      </w:r>
    </w:p>
    <w:p>
      <w:r>
        <w:rPr>
          <w:b/>
        </w:rPr>
        <w:t xml:space="preserve">Ergebnis: </w:t>
      </w:r>
      <w:r>
        <w:t>Nach 12 Monaten war der zBMI-Anstieg in der Interventionsgruppe um 0,19 SD geringer als in der Kontrollgruppe (adjustierte Differenz -0,19; 95%-KI -0,38 bis -0,01; p=0,04). Die Intervention vermied eine weitere Gewichtszunahme, wirkte aber nicht auf die Getränkeaufnahme aus.</w:t>
      </w:r>
    </w:p>
    <w:p>
      <w:r>
        <w:rPr>
          <w:b/>
          <w:sz w:val="19"/>
        </w:rPr>
        <w:t xml:space="preserve">Übertragbarkeit: </w:t>
      </w:r>
      <w:r>
        <w:rPr>
          <w:sz w:val="19"/>
        </w:rPr>
        <w:t>USA-Studie, aber Verhaltensansatz in Gemeinschaftseinrichtungen ist auf deutsche Schulen übertragbar.</w:t>
      </w:r>
    </w:p>
    <w:p>
      <w:r>
        <w:rPr>
          <w:color w:val="5A7D3A"/>
          <w:sz w:val="18"/>
        </w:rPr>
        <w:t>https://pubmed.ncbi.nlm.nih.gov/42853568/</w:t>
      </w:r>
    </w:p>
    <w:p>
      <w:pPr>
        <w:pStyle w:val="Heading2"/>
      </w:pPr>
      <w:r>
        <w:t>Wissen und Einstellung von Eltern bestimmen Kindergewichtsmanagement stärker als Wissensvermittlung</w:t>
      </w:r>
    </w:p>
    <w:p>
      <w:r>
        <w:rPr>
          <w:i/>
          <w:color w:val="666666"/>
          <w:sz w:val="18"/>
        </w:rPr>
        <w:t>Wei L et al.  ·  Front Public Health  ·  24.09.2026  ·  PMID 42851382</w:t>
      </w:r>
    </w:p>
    <w:p>
      <w:r>
        <w:t>Querschnittsstudie bei 572 Eltern von Schulkindern in Südwest-China: Erfassung von Wissen, Einstellungen und Praktiken (KAP) zum Kindergewicht; Mediationsanalyse zwischen Politik, Wissen, Einstellung und Handlung.</w:t>
      </w:r>
    </w:p>
    <w:p>
      <w:r>
        <w:rPr>
          <w:b/>
        </w:rPr>
        <w:t xml:space="preserve">Ergebnis: </w:t>
      </w:r>
      <w:r>
        <w:t>Negative Einstellungen (aOR 5,32; 95%-KI 3,45–8,28), Unkenntnis der Gewichtspolitik (aOR 1,98; 95%-KI 1,31–3,00) und unkontrolliertes Essen (aOR 1,70; 95%-KI 1,13–2,57) waren Prädiktoren schlechter Praktiken. Einstellung mediierte 27,7% des Effekts der Politikkenntnis auf Praktiken.</w:t>
      </w:r>
    </w:p>
    <w:p>
      <w:r>
        <w:rPr>
          <w:b/>
          <w:sz w:val="19"/>
        </w:rPr>
        <w:t xml:space="preserve">Übertragbarkeit: </w:t>
      </w:r>
      <w:r>
        <w:rPr>
          <w:sz w:val="19"/>
        </w:rPr>
        <w:t>China, aber zeigt strukturelle Barriere: Wissensvermittlung allein ändert Familienpraxis nicht ohne Einstellungsänderung.</w:t>
      </w:r>
    </w:p>
    <w:p>
      <w:r>
        <w:rPr>
          <w:color w:val="5A7D3A"/>
          <w:sz w:val="18"/>
        </w:rPr>
        <w:t>https://pubmed.ncbi.nlm.nih.gov/42851382/</w:t>
      </w:r>
    </w:p>
    <w:p>
      <w:pPr>
        <w:pStyle w:val="Heading2"/>
      </w:pPr>
      <w:r>
        <w:t>Kardiorenales Metabolisches Syndrom gestaffelt Risiko für Herzinfarkt und Leberfolgen über alle Fettleberformen</w:t>
      </w:r>
    </w:p>
    <w:p>
      <w:r>
        <w:rPr>
          <w:i/>
          <w:color w:val="666666"/>
          <w:sz w:val="18"/>
        </w:rPr>
        <w:t>Fan QY et al.  ·  Med  ·  09.10.2026  ·  PMID 42716008</w:t>
      </w:r>
    </w:p>
    <w:p>
      <w:r>
        <w:t>UK-Biobank-Kohortenstudie mit 142.564 Personen mit steatolischen Lebererkrankungen: Stratifikation nach kardiorenales metabolisches Syndrom (CKM)-Stadium (0–4); Messung inzidenter kardiovaskulärer (MACE) und leberassoziierter Ereignisse (LRE) über 14,7 Jahre.</w:t>
      </w:r>
    </w:p>
    <w:p>
      <w:r>
        <w:rPr>
          <w:b/>
        </w:rPr>
        <w:t xml:space="preserve">Ergebnis: </w:t>
      </w:r>
      <w:r>
        <w:t>Höheres CKM-Stadium war dosisabhängig mit höherem MACE- und LRE-Risiko verknüpft (CKM-Stadien 2–4 vs. 0–1: adjustierte HR 1,51–3,62 für MACE, 1,28–2,32 für LRE). Adipositas und Hypertonie waren die stärksten Populationsattribute (bis 22,8% PAR für LRE); Diabetes trug mehr zu LRE bei (17,5% vs. 7,9% MACE).</w:t>
      </w:r>
    </w:p>
    <w:p>
      <w:r>
        <w:rPr>
          <w:b/>
          <w:sz w:val="19"/>
        </w:rPr>
        <w:t xml:space="preserve">Übertragbarkeit: </w:t>
      </w:r>
      <w:r>
        <w:rPr>
          <w:sz w:val="19"/>
        </w:rPr>
        <w:t>UK Biobank, deutsches Versicherungssystem vergleichbar; zeigt Klassifikation von Risiko als Versorgungsaufgabe.</w:t>
      </w:r>
    </w:p>
    <w:p>
      <w:r>
        <w:rPr>
          <w:color w:val="5A7D3A"/>
          <w:sz w:val="18"/>
        </w:rPr>
        <w:t>https://pubmed.ncbi.nlm.nih.gov/42716008/</w:t>
      </w:r>
    </w:p>
    <w:p>
      <w:pPr>
        <w:pStyle w:val="Heading2"/>
      </w:pPr>
      <w:r>
        <w:t>GLP-1-Agonisten im NHS limitiert, private Versorgung verstärkt Ungleichheit</w:t>
      </w:r>
    </w:p>
    <w:p>
      <w:r>
        <w:rPr>
          <w:i/>
          <w:color w:val="666666"/>
          <w:sz w:val="18"/>
        </w:rPr>
        <w:t>Boocock RC  ·  Nurs Stand  ·  30.09.2026  ·  PMID 42676263</w:t>
      </w:r>
    </w:p>
    <w:p>
      <w:r>
        <w:t>Übersichtsartikel zu GLP-1-Rezeptoragonisten und Dual-GIP/GLP-1-Agonisten: Wirkungsmechanismen, Sicherheitsrisiken (Unterernährung, Muskelverlust, Wiederzunahme nach Absetzen), Rolle der Pflege bei Mikronährstoffen und Verhaltensänderung.</w:t>
      </w:r>
    </w:p>
    <w:p>
      <w:r>
        <w:rPr>
          <w:b/>
        </w:rPr>
        <w:t xml:space="preserve">Ergebnis: </w:t>
      </w:r>
      <w:r>
        <w:t>NHS-Zugang zu GLP-1-Agonisten begrenzt auf höhere Risikopatienten; großer Anteil mit privaten Zahlungen behandelt. Dies verschärft bestehende Gesundheitsungleichheiten bei Adipositas. Pflegefachkräfte haben entscheidende Rolle bei Unterstützung von Proteinaufnahme, Bewegung und Verhaltensänderung zur Sicherung langfristiger Ergebnisse.</w:t>
      </w:r>
    </w:p>
    <w:p>
      <w:r>
        <w:rPr>
          <w:b/>
          <w:sz w:val="19"/>
        </w:rPr>
        <w:t xml:space="preserve">Übertragbarkeit: </w:t>
      </w:r>
      <w:r>
        <w:rPr>
          <w:sz w:val="19"/>
        </w:rPr>
        <w:t>UK-System, aber direkt übertragbar: auch in Deutschland (§34 SGB V) ist GLP-1 für Adipositas nicht erstattungsfähig, private Zahlungen driften Systemungleichheit auf.</w:t>
      </w:r>
    </w:p>
    <w:p>
      <w:r>
        <w:rPr>
          <w:color w:val="5A7D3A"/>
          <w:sz w:val="18"/>
        </w:rPr>
        <w:t>https://pubmed.ncbi.nlm.nih.gov/42676263/</w:t>
      </w:r>
    </w:p>
    <w:p>
      <w:pPr>
        <w:pStyle w:val="Heading2"/>
      </w:pPr>
      <w:r>
        <w:t>Magenbypass-Reversal bei therapierefraktären Komplikationen: schwache Symptomverbesserung trotz besserer Ernährung</w:t>
      </w:r>
    </w:p>
    <w:p>
      <w:r>
        <w:rPr>
          <w:i/>
          <w:color w:val="666666"/>
          <w:sz w:val="18"/>
        </w:rPr>
        <w:t>Noci MVR et al.  ·  Obes Surg  ·  28.08.2026  ·  PMID 42663940</w:t>
      </w:r>
    </w:p>
    <w:p>
      <w:r>
        <w:t>Retrospektive Fallserie an britischem Tertiar-Zentrum (2019–2026): 8 Patienten mit Magenbypass-Reversal wegen chronischer Komplikationen (anastomotische Probleme, innere Hernien, Dumping). Median 4,5 Jahre bis Reversal mit medianen Nachuntersuchungen von 17 Monaten (IQR 6–24).</w:t>
      </w:r>
    </w:p>
    <w:p>
      <w:r>
        <w:rPr>
          <w:b/>
        </w:rPr>
        <w:t xml:space="preserve">Ergebnis: </w:t>
      </w:r>
      <w:r>
        <w:t>Post-Reversal: BMI stieg von 21 (IQR 17,3–27) auf 29 kg/m² (IQR 23,1–33), Albumin von 30 auf 38 g/L (IQR 32–41). Symptomrelief inkonsistent: anhaltende abdominelle Schmerzen 7/8, Reflux 4/5, Dysphagie 4/7, schlechte orale Aufnahme 3/7, Erbrechen 3/8. Postoperative Komplikationen: anastomotische Leckagen, Ulzera, Narbenbruchhernen.</w:t>
      </w:r>
    </w:p>
    <w:p>
      <w:r>
        <w:rPr>
          <w:b/>
          <w:sz w:val="19"/>
        </w:rPr>
        <w:t xml:space="preserve">Übertragbarkeit: </w:t>
      </w:r>
      <w:r>
        <w:rPr>
          <w:sz w:val="19"/>
        </w:rPr>
        <w:t>UK-Tertiar-Zentrum, deutsches Adipositas-Chirurgie-System vergleichbar; zeigt Grenzfrage: wann hat Reversal noch Nutzen?</w:t>
      </w:r>
    </w:p>
    <w:p>
      <w:r>
        <w:rPr>
          <w:color w:val="5A7D3A"/>
          <w:sz w:val="18"/>
        </w:rPr>
        <w:t>https://pubmed.ncbi.nlm.nih.gov/42663940/</w:t>
      </w:r>
    </w:p>
    <w:p>
      <w:pPr>
        <w:pStyle w:val="Heading2"/>
      </w:pPr>
      <w:r>
        <w:t>Mütterlicher Gestationsdiabetes verknüpft mit erhöhter Fettmasse in Kindheit und Jugend</w:t>
      </w:r>
    </w:p>
    <w:p>
      <w:r>
        <w:rPr>
          <w:i/>
          <w:color w:val="666666"/>
          <w:sz w:val="18"/>
        </w:rPr>
        <w:t>Du J et al.  ·  Diabetes Obes Metab  ·  25.08.2026  ·  PMID 42642339</w:t>
      </w:r>
    </w:p>
    <w:p>
      <w:r>
        <w:t>Longitudinalstudie des Millennium Cohort Study mit 14.329 Kindern (davon 170 mit GDM-Exposition): Körperzusammensetzung (Fett, fettfreie Masse, Verhältnisse) in vier Perioden von Alter 7–17 Jahren gemessen, lineare Mischmodelle für Trajektorien gerechnet.</w:t>
      </w:r>
    </w:p>
    <w:p>
      <w:r>
        <w:rPr>
          <w:b/>
        </w:rPr>
        <w:t xml:space="preserve">Ergebnis: </w:t>
      </w:r>
      <w:r>
        <w:t>GDM-exponierte Kinder zeigten über alle Altersgruppen höhere Fettmasse (FM), Fettmassindex (FMI) und FMI/FFMI-Verhältnis; altersabhängige Zwischen-Gruppen-Unterschiede (p&lt;0,05 für FM, FMI, Verhältnis). Nach Adjustierung für mütterliche Adipositas vor der Schwangerschaft wurden Effekte abgeschwächt, Muster blieben aber sichtbar.</w:t>
      </w:r>
    </w:p>
    <w:p>
      <w:r>
        <w:rPr>
          <w:b/>
          <w:sz w:val="19"/>
        </w:rPr>
        <w:t xml:space="preserve">Übertragbarkeit: </w:t>
      </w:r>
      <w:r>
        <w:rPr>
          <w:sz w:val="19"/>
        </w:rPr>
        <w:t>Großbritannien, vergleichbar deutsches Gesundheitssystem; zeigt pränatale Prävention als langfristige Versorgungsfrage.</w:t>
      </w:r>
    </w:p>
    <w:p>
      <w:r>
        <w:rPr>
          <w:color w:val="5A7D3A"/>
          <w:sz w:val="18"/>
        </w:rPr>
        <w:t>https://pubmed.ncbi.nlm.nih.gov/42642339/</w:t>
      </w:r>
    </w:p>
    <w:p>
      <w:pPr>
        <w:pStyle w:val="Heading1"/>
      </w:pPr>
      <w:r>
        <w:t>Aufgenommen am 09.10.2026</w:t>
      </w:r>
    </w:p>
    <w:p>
      <w:pPr>
        <w:pStyle w:val="Heading2"/>
      </w:pPr>
      <w:r>
        <w:t>Adipositasversorgung in der Primärmedizin: Finanzierungs- und Zeitbarrieren hemmen Prävention</w:t>
      </w:r>
    </w:p>
    <w:p>
      <w:r>
        <w:rPr>
          <w:i/>
          <w:color w:val="666666"/>
          <w:sz w:val="18"/>
        </w:rPr>
        <w:t>South TL et al.  ·  Aust J Gen Pract  ·  Okt. 2026  ·  PMID 42849427</w:t>
      </w:r>
    </w:p>
    <w:p>
      <w:r>
        <w:t>Nationale Online-Umfrage von 943 australischen Allgemeinmedizinern November 2023–Februar 2024 zu Engagement, Strategien, Barrieren und Befähigern in der Adipositasversorgung sowie Schulungsbedarf.</w:t>
      </w:r>
    </w:p>
    <w:p>
      <w:r>
        <w:rPr>
          <w:b/>
        </w:rPr>
        <w:t xml:space="preserve">Ergebnis: </w:t>
      </w:r>
      <w:r>
        <w:t>55,7 % der Hausärzte sprechen häufig über Gewicht, 91,6 % geben Ernährungs- und Lebensstilratschläge, aber nur 12,7 % haben formale Adipositas-Schulung. Hauptbarrieren: unzureichende Medicare-Vergütung (MBS) für Konsultationen, unerschwingliche Adipositaspharmakotherapie, mangelnde MBS-Pläne zur chronischen Krankheitsbehandlung, konkurrierende Prioritäten und Zeitmangel. Befähiger: erhöhte MBS-Finanzierung, PBS-Zugang zu Adipositasmedikamenten, bessere Klinikanbindung, Schulung.</w:t>
      </w:r>
    </w:p>
    <w:p>
      <w:r>
        <w:rPr>
          <w:b/>
          <w:sz w:val="19"/>
        </w:rPr>
        <w:t xml:space="preserve">Übertragbarkeit: </w:t>
      </w:r>
      <w:r>
        <w:rPr>
          <w:sz w:val="19"/>
        </w:rPr>
        <w:t>Australien hat ähnliches Versicherungssystem, aber andere Leistungskataloge; Barrieren-Befunde teilweise auf Deutschland übertragbar.</w:t>
      </w:r>
    </w:p>
    <w:p>
      <w:r>
        <w:rPr>
          <w:color w:val="5A7D3A"/>
          <w:sz w:val="18"/>
        </w:rPr>
        <w:t>https://pubmed.ncbi.nlm.nih.gov/42849427/</w:t>
      </w:r>
    </w:p>
    <w:p>
      <w:pPr>
        <w:pStyle w:val="Heading2"/>
      </w:pPr>
      <w:r>
        <w:t>Ländliches Wellness-Programm verringerte Taillenumfang um 0,19 Zoll und diastolischen Druck um 3,38 mmHg</w:t>
      </w:r>
    </w:p>
    <w:p>
      <w:r>
        <w:rPr>
          <w:i/>
          <w:color w:val="666666"/>
          <w:sz w:val="18"/>
        </w:rPr>
        <w:t>Baus A et al.  ·  J Prim Care Community Health  ·  08.10.2026  ·  PMID 42849056</w:t>
      </w:r>
    </w:p>
    <w:p>
      <w:r>
        <w:t>Retrospektive Evaluierung von 585 aktiven Teilnehmern eines krankenhausgestützten Wellness-Programms (Prescription for Your Health, P4YH) in ländlichem West-Virginia mit Messung kardiometabolischer Parameter in Paardaten-Analysen.</w:t>
      </w:r>
    </w:p>
    <w:p>
      <w:r>
        <w:rPr>
          <w:b/>
        </w:rPr>
        <w:t xml:space="preserve">Ergebnis: </w:t>
      </w:r>
      <w:r>
        <w:t>Taillenumfang sank um 0,19 Zoll (95%-KI –0,34 bis –0,03; p=0,0174), diastolischer Blutdruck um 3,38 mmHg (95%-KI –4,54 bis –2,21; p&lt;0,0001). Bei Diabetikern mit gepaarten HbA1c-Messungen (n=56) sank HbA1c um 0,25 Prozentpunkte (95%-KI –0,44 bis –0,06; p=0,0106), bei initialen HbA1c ≥7,0 % um 0,65 Prozentpunkte (95%-KI –1,00 bis –0,29; p=0,0010). Andere kardiometabolische Outcomes änderten sich nicht signifikant.</w:t>
      </w:r>
    </w:p>
    <w:p>
      <w:r>
        <w:rPr>
          <w:b/>
          <w:sz w:val="19"/>
        </w:rPr>
        <w:t xml:space="preserve">Übertragbarkeit: </w:t>
      </w:r>
      <w:r>
        <w:rPr>
          <w:sz w:val="19"/>
        </w:rPr>
        <w:t>USA mit anderer Versicherungsfinanzierung, aber Programm-Modell für strukturierte Nachsorge in Primärversorgung ist übertragbar.</w:t>
      </w:r>
    </w:p>
    <w:p>
      <w:r>
        <w:rPr>
          <w:color w:val="5A7D3A"/>
          <w:sz w:val="18"/>
        </w:rPr>
        <w:t>https://pubmed.ncbi.nlm.nih.gov/42849056/</w:t>
      </w:r>
    </w:p>
    <w:p>
      <w:pPr>
        <w:pStyle w:val="Heading2"/>
      </w:pPr>
      <w:r>
        <w:t>Kinderübergewicht in Spanien: 15 Jahre Überwachung durch COSI und ALADINO-Studie</w:t>
      </w:r>
    </w:p>
    <w:p>
      <w:r>
        <w:rPr>
          <w:i/>
          <w:color w:val="666666"/>
          <w:sz w:val="18"/>
        </w:rPr>
        <w:t>Giménez Alba IM et al.  ·  Rev Esp Salud Publica  ·  05.10.2026  ·  PMID 42847331</w:t>
      </w:r>
    </w:p>
    <w:p>
      <w:r>
        <w:t>Analyse der Prävalenz von Übergewicht und Adipositas bei 6–9-jährigen Kindern in Spanien über 15 Jahre mit standardisierten anthropometrischen Methoden im Rahmen der WHO-Surveillance Initiative COSI.</w:t>
      </w:r>
    </w:p>
    <w:p>
      <w:r>
        <w:rPr>
          <w:b/>
        </w:rPr>
        <w:t xml:space="preserve">Ergebnis: </w:t>
      </w:r>
      <w:r>
        <w:t>In der letzten Runde (2022–2023) mit 12.684 Kindern betrug die Übergewichtsprävalenz 33,6 % im Alter 6 Jahre und 40,5 % im Alter 9 Jahre, Adipositas 14,1 % bzw. 18,8 %. Trotz eines der größten Rückgänge zwischen Runde 5 und 6 zählt Spanien weiterhin zu den Ländern mit höchsten Prävalenzraten in der Region. Strukturierte Prävention durch intersektorale Politik mit Bewegungsförderung zeigt Fortschritte.</w:t>
      </w:r>
    </w:p>
    <w:p>
      <w:r>
        <w:rPr>
          <w:b/>
          <w:sz w:val="19"/>
        </w:rPr>
        <w:t xml:space="preserve">Übertragbarkeit: </w:t>
      </w:r>
      <w:r>
        <w:rPr>
          <w:sz w:val="19"/>
        </w:rPr>
        <w:t>Europäische Standardisierung und nationale Repräsentativität ermöglichen Übertragung auf deutschsprachigen Raum.</w:t>
      </w:r>
    </w:p>
    <w:p>
      <w:r>
        <w:rPr>
          <w:color w:val="5A7D3A"/>
          <w:sz w:val="18"/>
        </w:rPr>
        <w:t>https://pubmed.ncbi.nlm.nih.gov/42847331/</w:t>
      </w:r>
    </w:p>
    <w:p>
      <w:pPr>
        <w:pStyle w:val="Heading2"/>
      </w:pPr>
      <w:r>
        <w:t>Adipositas bei Nierenleiden: Chirurgische Komplikationen höher, Langzeitüberleben gleich</w:t>
      </w:r>
    </w:p>
    <w:p>
      <w:r>
        <w:rPr>
          <w:i/>
          <w:color w:val="666666"/>
          <w:sz w:val="18"/>
        </w:rPr>
        <w:t>Melera E et al.  ·  Clin Transplant  ·  Okt. 2026  ·  PMID 42839226</w:t>
      </w:r>
    </w:p>
    <w:p>
      <w:r>
        <w:t>Retrospektive Kohortenstudie von 953 erwachsenen Nieren-Transplantierten (150 adipös, BMI ≥30 kg/m²) in der Schweiz von 1999–2023 mit Nachverfolgung chirurgischer und funktioneller Ergebnisse.</w:t>
      </w:r>
    </w:p>
    <w:p>
      <w:r>
        <w:rPr>
          <w:b/>
        </w:rPr>
        <w:t xml:space="preserve">Ergebnis: </w:t>
      </w:r>
      <w:r>
        <w:t>Adipöse Empfänger zeigten erhöhte Raten für chirurgische Infektionen (11 % vs. 3 %, p&lt;0,001), Lymphozelen (18 % vs. 10 %, p=0,007), Inkarzeral-Hernien (10 % vs. 5 %, p=0,032), längerer Krankenhausaufenthalt (19 vs. 17 Tage, p=0,038) und verzögerter Transplantatfunktion (21 % vs. 14 %, p=0,024). Patienten- und transplantatüberleben nach 7,3 Jahren Medianfolge unterschieden sich nicht signifikant. Adipositas sollte keine Kontraindikation sein.</w:t>
      </w:r>
    </w:p>
    <w:p>
      <w:r>
        <w:rPr>
          <w:b/>
          <w:sz w:val="19"/>
        </w:rPr>
        <w:t xml:space="preserve">Übertragbarkeit: </w:t>
      </w:r>
      <w:r>
        <w:rPr>
          <w:sz w:val="19"/>
        </w:rPr>
        <w:t>Europäisches Versicherungssystem mit vergleichbarer Einzelfallgenehmigung für Organtransplantation; direkt auf DACH übertragbar.</w:t>
      </w:r>
    </w:p>
    <w:p>
      <w:r>
        <w:rPr>
          <w:color w:val="5A7D3A"/>
          <w:sz w:val="18"/>
        </w:rPr>
        <w:t>https://pubmed.ncbi.nlm.nih.gov/42839226/</w:t>
      </w:r>
    </w:p>
    <w:p>
      <w:pPr>
        <w:pStyle w:val="Heading2"/>
      </w:pPr>
      <w:r>
        <w:t>Mini-Magenbyppass bei schwerer Adipositas: Remission von Diabetes in 84 %</w:t>
      </w:r>
    </w:p>
    <w:p>
      <w:r>
        <w:rPr>
          <w:i/>
          <w:color w:val="666666"/>
          <w:sz w:val="18"/>
        </w:rPr>
        <w:t>Shumkov OA et al.  ·  Khirurgiia (Mosk)  ·  2026  ·  PMID 42831339</w:t>
      </w:r>
    </w:p>
    <w:p>
      <w:r>
        <w:t>Retrospektive 3-Jahres-Nachverfolgung von 17 Patienten mit schwerem Übergewicht (Ausgangs-BMI 64,28 kg/m²) nach One-Anastomosis-Mini-Gastric-Bypass mit Messung metabolischer Parameter und Komorbiditäten.</w:t>
      </w:r>
    </w:p>
    <w:p>
      <w:r>
        <w:rPr>
          <w:b/>
        </w:rPr>
        <w:t xml:space="preserve">Ergebnis: </w:t>
      </w:r>
      <w:r>
        <w:t>Gesamtgewichtsverlust Median 37,6 kg, Gewichtsverlust über Normalgewicht Median 57,3 kg. Diabetesremission in 84 %, Remission von Schlafapnoe-Symptomen in 94,1 %, normaler Blutdruck oder reduzierte Medikation in 50 %, Normalisierung von LDL oder Statin-Dosisreduktion in 79 %. Minimal frühe postoperative Komplikationen.</w:t>
      </w:r>
    </w:p>
    <w:p>
      <w:r>
        <w:rPr>
          <w:b/>
          <w:sz w:val="19"/>
        </w:rPr>
        <w:t xml:space="preserve">Übertragbarkeit: </w:t>
      </w:r>
      <w:r>
        <w:rPr>
          <w:sz w:val="19"/>
        </w:rPr>
        <w:t>Russische Fallserie mit kleiner Stichprobe; begrenzte Aussagekraft für deutsche Versorgungsrealität.</w:t>
      </w:r>
    </w:p>
    <w:p>
      <w:r>
        <w:rPr>
          <w:color w:val="5A7D3A"/>
          <w:sz w:val="18"/>
        </w:rPr>
        <w:t>https://pubmed.ncbi.nlm.nih.gov/42831339/</w:t>
      </w:r>
    </w:p>
    <w:p>
      <w:pPr>
        <w:pStyle w:val="Heading2"/>
      </w:pPr>
      <w:r>
        <w:t>Wirtschaftslast von Übergewicht und Adipositas in Schweden: 7 Mrd. EUR 2023, Projektion auf 8,6 Mrd. EUR 2040</w:t>
      </w:r>
    </w:p>
    <w:p>
      <w:r>
        <w:rPr>
          <w:i/>
          <w:color w:val="666666"/>
          <w:sz w:val="18"/>
        </w:rPr>
        <w:t>Fridhammar A et al.  ·  Diabetes Obes Metab  ·  09.08.2026  ·  PMID 42572006</w:t>
      </w:r>
    </w:p>
    <w:p>
      <w:r>
        <w:t>Prävalenz-basierte Kostenanalyse in Schweden 2023 unter Gesellschaftsperspektive mit Hochrechnung auf 2040 unter Szenarien steigender Prävalenz; Einschluss von Gesundheitswesen, Sozialleistungen, Pharmaka, Produktivitätsausfällen und informeller Pflege.</w:t>
      </w:r>
    </w:p>
    <w:p>
      <w:r>
        <w:rPr>
          <w:b/>
        </w:rPr>
        <w:t xml:space="preserve">Ergebnis: </w:t>
      </w:r>
      <w:r>
        <w:t>Gesamtlast 2023: ≈7 Mrd. EUR (664 EUR pro Kopf); 2,6 Mrd. EUR Übergewicht, 4,4 Mrd. EUR Adipositas. Produktivitätsverluste 71 % der Kosten, Gesundheitsausgaben 21 %, Pharmaka/informelle Pflege/Soziales 8 %. Projektion 2040: 7,2 Mrd. EUR (Demografie allein) bis 8,6 Mrd. EUR (steigende Prävalenz). Ein Prozentpunkt weniger Adipositas-Prävalenz würde demografische Steigerung aufheben.</w:t>
      </w:r>
    </w:p>
    <w:p>
      <w:r>
        <w:rPr>
          <w:b/>
          <w:sz w:val="19"/>
        </w:rPr>
        <w:t xml:space="preserve">Übertragbarkeit: </w:t>
      </w:r>
      <w:r>
        <w:rPr>
          <w:sz w:val="19"/>
        </w:rPr>
        <w:t>Nordeuropäisches Versicherungssystem mit ähnlichem Gesundheitsauftrag und Finanzierungsstruktur wie Deutschland; direkt vergleichbar.</w:t>
      </w:r>
    </w:p>
    <w:p>
      <w:r>
        <w:rPr>
          <w:color w:val="5A7D3A"/>
          <w:sz w:val="18"/>
        </w:rPr>
        <w:t>https://pubmed.ncbi.nlm.nih.gov/42572006/</w:t>
      </w:r>
    </w:p>
    <w:p>
      <w:pPr>
        <w:pStyle w:val="Heading1"/>
      </w:pPr>
      <w:r>
        <w:t>Aufgenommen am 08.10.2026</w:t>
      </w:r>
    </w:p>
    <w:p>
      <w:pPr>
        <w:pStyle w:val="Heading2"/>
      </w:pPr>
      <w:r>
        <w:t>GLP-1-Rezeptoragonisten und SGLT2-Inhibitoren: Disparitäten beim Zugang bleiben</w:t>
      </w:r>
    </w:p>
    <w:p>
      <w:r>
        <w:rPr>
          <w:i/>
          <w:color w:val="666666"/>
          <w:sz w:val="18"/>
        </w:rPr>
        <w:t>Chu AH et al.  ·  Curr Cardiol Rep  ·  07.10.2026  ·  PMID 42842171</w:t>
      </w:r>
    </w:p>
    <w:p>
      <w:r>
        <w:t>Systematischer Review von 100 US-Studien (2013–2026) zu Ungleichheiten in Verordnung und Initiierung von GLP-1RA und SGLT2i zur kardiovaskulären, nierenschützenden und metabolischen Therapie.</w:t>
      </w:r>
    </w:p>
    <w:p>
      <w:r>
        <w:rPr>
          <w:b/>
        </w:rPr>
        <w:t xml:space="preserve">Ergebnis: </w:t>
      </w:r>
      <w:r>
        <w:t>Persistent verringerte Verordnungsraten für Black und Hispanic patients, Medicaid-Versicherte, niedrigere Einkommensgruppen und ältere Erwachsene trotig gestiegener Verordnungen nach Landmark-Trials. Barrieren spanning gesellschaftlich-politische, Gesundheitssystem-, Anbieter-, Patienten- und therapiebezogene Ebenen. Das Equity-First-Framework identifiziert Monitoring, gerechte Zugangsstrukturen und Kliniker-Support als Implementierungsmaßnahmen.</w:t>
      </w:r>
    </w:p>
    <w:p>
      <w:r>
        <w:rPr>
          <w:b/>
          <w:sz w:val="19"/>
        </w:rPr>
        <w:t xml:space="preserve">Übertragbarkeit: </w:t>
      </w:r>
      <w:r>
        <w:rPr>
          <w:sz w:val="19"/>
        </w:rPr>
        <w:t>USA - Kostenübernahme und Zugang sind dort anders als in Deutschland (§34 SGB V)</w:t>
      </w:r>
    </w:p>
    <w:p>
      <w:r>
        <w:rPr>
          <w:color w:val="5A7D3A"/>
          <w:sz w:val="18"/>
        </w:rPr>
        <w:t>https://pubmed.ncbi.nlm.nih.gov/42842171/</w:t>
      </w:r>
    </w:p>
    <w:p>
      <w:pPr>
        <w:pStyle w:val="Heading2"/>
      </w:pPr>
      <w:r>
        <w:t>Betain-Supplementation: begrenzte Effekte auf Mitochondrien und antioxidative Abwehr</w:t>
      </w:r>
    </w:p>
    <w:p>
      <w:r>
        <w:rPr>
          <w:i/>
          <w:color w:val="666666"/>
          <w:sz w:val="18"/>
        </w:rPr>
        <w:t>Zawieja E et al.  ·  Eur J Nutr  ·  07.10.2026  ·  PMID 42841999</w:t>
      </w:r>
    </w:p>
    <w:p>
      <w:r>
        <w:t>Randomisierte, placebokontrollierte 8-Wochen-Studie bei 93 übergewichtigen oder adipösen prämenopausalen Frauen zu Effekten von Betain (3 g/Tag) auf mitochondriale und Redox-Parameter in peripheren Blutlymphozyten.</w:t>
      </w:r>
    </w:p>
    <w:p>
      <w:r>
        <w:rPr>
          <w:b/>
        </w:rPr>
        <w:t xml:space="preserve">Ergebnis: </w:t>
      </w:r>
      <w:r>
        <w:t>Signifikante Treatment-x-Zeit-Interaktion für Citrat-Synthase (CS) in PBMCs (p = 0,043); Betain-Gruppe zeigte größere Steigerung als Placebo (zwischen-Gruppen-Differenz 102,3 μg/mg Protein, 95%-KI 3,19–201,4). Plasma-Katalase-Aktivität stieg signifikant nur unter Betain (p = 0,003). Keine signifikanten Effekte für COX, SOD, GPx oder GSSG. Interpretation: Selektive, biologisch bedeutsame Effekte bleiben unklar.</w:t>
      </w:r>
    </w:p>
    <w:p>
      <w:r>
        <w:rPr>
          <w:b/>
          <w:sz w:val="19"/>
        </w:rPr>
        <w:t xml:space="preserve">Übertragbarkeit: </w:t>
      </w:r>
      <w:r>
        <w:rPr>
          <w:sz w:val="19"/>
        </w:rPr>
        <w:t>Polen, europäisches Versicherungssystem, kleine Stichprobe begrenzt Übertragbarkeit</w:t>
      </w:r>
    </w:p>
    <w:p>
      <w:r>
        <w:rPr>
          <w:color w:val="5A7D3A"/>
          <w:sz w:val="18"/>
        </w:rPr>
        <w:t>https://pubmed.ncbi.nlm.nih.gov/42841999/</w:t>
      </w:r>
    </w:p>
    <w:p>
      <w:pPr>
        <w:pStyle w:val="Heading2"/>
      </w:pPr>
      <w:r>
        <w:t>Präoperatives Gewichtsverlust-Programm vor Darmkrebsoperation: hohe Akzeptanz trotz Hürden</w:t>
      </w:r>
    </w:p>
    <w:p>
      <w:r>
        <w:rPr>
          <w:i/>
          <w:color w:val="666666"/>
          <w:sz w:val="18"/>
        </w:rPr>
        <w:t>Talbot A et al.  ·  Health Expect  ·  Okt. 2026  ·  PMID 42841450</w:t>
      </w:r>
    </w:p>
    <w:p>
      <w:r>
        <w:t>Qualitative Studie (CARE-RCT) zu Akzeptanz und Erfahrungen von 31 Patienten (BMI 36 kg/m², Alter 65 Jahre) bei intensivem Gewichtsverlust-Programm mit Diätbegleitung zwischen Krebsdiagnose und Operation.</w:t>
      </w:r>
    </w:p>
    <w:p>
      <w:r>
        <w:rPr>
          <w:b/>
        </w:rPr>
        <w:t xml:space="preserve">Ergebnis: </w:t>
      </w:r>
      <w:r>
        <w:t>Patienten verstanden die Rationalität des Programms (technisch erleichterte OP, schnellere Entlassung). Dietitische Unterstützung förderte Adherence; Gewichtsverlust und Gesundheitsmarker verbesserten sich messbar. Allerdings minderten Familienbedenken zu Sicherheit, soziale Essgelegenheiten und Nebenwirkungen die Gesamtacceptance. Kollektive Widerstände überwogen teilweise Kohärenz und kognitives Engagement (Normalisierungs-Prozess-Theorie).</w:t>
      </w:r>
    </w:p>
    <w:p>
      <w:r>
        <w:rPr>
          <w:b/>
          <w:sz w:val="19"/>
        </w:rPr>
        <w:t xml:space="preserve">Übertragbarkeit: </w:t>
      </w:r>
      <w:r>
        <w:rPr>
          <w:sz w:val="19"/>
        </w:rPr>
        <w:t>UK, ähnliche Versorgungsstrukturen, qualitative Erkenntnisse zu Barrieren übertragbar</w:t>
      </w:r>
    </w:p>
    <w:p>
      <w:r>
        <w:rPr>
          <w:color w:val="5A7D3A"/>
          <w:sz w:val="18"/>
        </w:rPr>
        <w:t>https://pubmed.ncbi.nlm.nih.gov/42841450/</w:t>
      </w:r>
    </w:p>
    <w:p>
      <w:pPr>
        <w:pStyle w:val="Heading2"/>
      </w:pPr>
      <w:r>
        <w:t>Schwere Adipositas erhöht Kosten und Komplikationen nach Rückenoperation massiv</w:t>
      </w:r>
    </w:p>
    <w:p>
      <w:r>
        <w:rPr>
          <w:i/>
          <w:color w:val="666666"/>
          <w:sz w:val="18"/>
        </w:rPr>
        <w:t>Playter KP et al.  ·  Spine (Phila Pa 1976)  ·  01.11.2026  ·  PMID 42841378</w:t>
      </w:r>
    </w:p>
    <w:p>
      <w:r>
        <w:t>US-Kohortenstudie mit 56.897 Patienten zur Frage, wie schwere Adipositas (BMI ≥40) die 90-Tage-Episodenkosten und Outcomes nach lumbaler Dekompression beeinflusst (MarketScan-Daten 2018–2023).</w:t>
      </w:r>
    </w:p>
    <w:p>
      <w:r>
        <w:rPr>
          <w:b/>
        </w:rPr>
        <w:t xml:space="preserve">Ergebnis: </w:t>
      </w:r>
      <w:r>
        <w:t>Schwer adipöse Patienten (5,6 % der Kohorte) zeigten höhere Raten von Wiederaufnahme, ED-Besuche, 30- und 90-Tage-Komplikationen und Reoperation (alle p &lt; 0,001). Tag-der-OP-Kosten: 26.993 vs. 22.279 $ (p = 0,001); 30-Tage-Kosten: 30.316 vs. 24.551 $; 90-Tage-Kosten: 34.569 vs. 27.816 $ (alle p &lt; 0,001). Multivariabel vorhergesagt: erhöhte OP-Kosten (p = 0,013), Wundinfektionen (OR 1,90), Wunddehiszenz (OR 2,08).</w:t>
      </w:r>
    </w:p>
    <w:p>
      <w:r>
        <w:rPr>
          <w:b/>
          <w:sz w:val="19"/>
        </w:rPr>
        <w:t xml:space="preserve">Übertragbarkeit: </w:t>
      </w:r>
      <w:r>
        <w:rPr>
          <w:sz w:val="19"/>
        </w:rPr>
        <w:t>USA - Kostendaten aus privatem Versicherungssystem, Komplikationsmuster aber allgemeingültig</w:t>
      </w:r>
    </w:p>
    <w:p>
      <w:r>
        <w:rPr>
          <w:color w:val="5A7D3A"/>
          <w:sz w:val="18"/>
        </w:rPr>
        <w:t>https://pubmed.ncbi.nlm.nih.gov/42841378/</w:t>
      </w:r>
    </w:p>
    <w:p>
      <w:pPr>
        <w:pStyle w:val="Heading2"/>
      </w:pPr>
      <w:r>
        <w:t>Klinikvolumen senkte Komplikationen nach Magenbypass deutlich</w:t>
      </w:r>
    </w:p>
    <w:p>
      <w:r>
        <w:rPr>
          <w:i/>
          <w:color w:val="666666"/>
          <w:sz w:val="18"/>
        </w:rPr>
        <w:t>Bobotis S et al.  ·  Obes Surg  ·  22.09.2026  ·  PMID 42771207</w:t>
      </w:r>
    </w:p>
    <w:p>
      <w:r>
        <w:t>UK-Registerstudie mit 54.195 Adipositaschirurgie-Patienten (2014–2023) zum Zusammenhang zwischen Klinikvolumen (Jahresverfahren) und major complications nach RYGB, Sleeve oder OAGB.</w:t>
      </w:r>
    </w:p>
    <w:p>
      <w:r>
        <w:rPr>
          <w:b/>
        </w:rPr>
        <w:t xml:space="preserve">Ergebnis: </w:t>
      </w:r>
      <w:r>
        <w:t>Bei RYGB sank die Obstruktionsrate mit steigendem Klinikvolumen von 0,8 % (Quartil I) auf 0,2 % (Quartil IV, p &lt; 0,001). Höheres Volumen sagte unabhängig niedrigere Obstruktion (OR 0,31, 95%-KI 0,16–0,58; p &lt; 0,001) und Clavien-Dindo ≥III-Komplikationen voraus (OR 0,71, 95%-KI 0,51–0,99; p = 0,044). Bei Sleeve und OAGB zeigten sich über alle Volumenquartile günstige Ergebnisse ohne Volumen-Effekt.</w:t>
      </w:r>
    </w:p>
    <w:p>
      <w:r>
        <w:rPr>
          <w:b/>
          <w:sz w:val="19"/>
        </w:rPr>
        <w:t xml:space="preserve">Übertragbarkeit: </w:t>
      </w:r>
      <w:r>
        <w:rPr>
          <w:sz w:val="19"/>
        </w:rPr>
        <w:t>UK-Registerdaten, deutsches Versorgungssystem hat ähnliche Zentrumskonzentration</w:t>
      </w:r>
    </w:p>
    <w:p>
      <w:r>
        <w:rPr>
          <w:color w:val="5A7D3A"/>
          <w:sz w:val="18"/>
        </w:rPr>
        <w:t>https://pubmed.ncbi.nlm.nih.gov/42771207/</w:t>
      </w:r>
    </w:p>
    <w:p>
      <w:pPr>
        <w:pStyle w:val="Heading2"/>
      </w:pPr>
      <w:r>
        <w:t>Adipositaschirurgie senkte Medikamentenkosten und Krankheitslast deutlich</w:t>
      </w:r>
    </w:p>
    <w:p>
      <w:r>
        <w:rPr>
          <w:i/>
          <w:color w:val="666666"/>
          <w:sz w:val="18"/>
        </w:rPr>
        <w:t>Oliveira A et al.  ·  Obes Surg  ·  14.08.2026  ·  PMID 42599584</w:t>
      </w:r>
    </w:p>
    <w:p>
      <w:r>
        <w:t>Portugiesische Kohortenstudie zur Frage, ob Adipositaschirurgie (Magenbypass, Sleeve, OAGB) über 3 Jahre hinweg die Medikamentenkosten und die Krankheitslast bei Adipositas reduziert.</w:t>
      </w:r>
    </w:p>
    <w:p>
      <w:r>
        <w:rPr>
          <w:b/>
        </w:rPr>
        <w:t xml:space="preserve">Ergebnis: </w:t>
      </w:r>
      <w:r>
        <w:t>3 Jahre nach chirurgischer Intervention sanken die mittleren jährlichen Medikamentenkosten um 56,11 € pro Patient (p &lt; 0,05). Die Prävalenz von Hypertonie, Typ-2-Diabetes, Dyslipidämie und Asthma sank signifikant (alle p &lt; 0,05), die mittlere Krankheitslast (Years Lived with Disability) von 0,022 auf 0,014 (p &lt; 0,05). Damit zeigt sich eine nachhaltige Reduktion komorbider Lasten nach bariatrischer Intervention.</w:t>
      </w:r>
    </w:p>
    <w:p>
      <w:r>
        <w:rPr>
          <w:b/>
          <w:sz w:val="19"/>
        </w:rPr>
        <w:t xml:space="preserve">Übertragbarkeit: </w:t>
      </w:r>
      <w:r>
        <w:rPr>
          <w:sz w:val="19"/>
        </w:rPr>
        <w:t>Portugal, vergleichbares Sozialversicherungssystem wie Deutschland</w:t>
      </w:r>
    </w:p>
    <w:p>
      <w:r>
        <w:rPr>
          <w:color w:val="5A7D3A"/>
          <w:sz w:val="18"/>
        </w:rPr>
        <w:t>https://pubmed.ncbi.nlm.nih.gov/42599584/</w:t>
      </w:r>
    </w:p>
    <w:p>
      <w:pPr>
        <w:pStyle w:val="Heading1"/>
      </w:pPr>
      <w:r>
        <w:t>Aufgenommen am 07.10.2026</w:t>
      </w:r>
    </w:p>
    <w:p>
      <w:pPr>
        <w:pStyle w:val="Heading2"/>
      </w:pPr>
      <w:r>
        <w:t>GLP-1-Rezeptoragonisten bei Schlafapnoe: Reduktion um 10 Ereignisse pro Stunde</w:t>
      </w:r>
    </w:p>
    <w:p>
      <w:r>
        <w:rPr>
          <w:i/>
          <w:color w:val="666666"/>
          <w:sz w:val="18"/>
        </w:rPr>
        <w:t>Carvalhal G et al.  ·  Sleep Breath  ·  06.10.2026  ·  PMID 42837024</w:t>
      </w:r>
    </w:p>
    <w:p>
      <w:r>
        <w:t>Metaanalyse von 6 randomisierten kontrollierten Studien (n=1.069, 4× Liraglutid, 2× Tirzepatid) zu Effektivität und Sicherheit bei moderater bis schwerer obstruktiver Schlafapnoe.</w:t>
      </w:r>
    </w:p>
    <w:p>
      <w:r>
        <w:rPr>
          <w:b/>
        </w:rPr>
        <w:t xml:space="preserve">Ergebnis: </w:t>
      </w:r>
      <w:r>
        <w:t>GLP-1-Therapie reduzierte Apnoe-Hypopnoe-Index um −9,99 Ereignisse/Stunde (95%-KI: −16,47 bis −3,50, p&lt;0,01) und Körpergewicht um −9,68 kg (95%-KI: −15,84 bis −3,51, p&lt;0,01). Systolischer und diastolischer Blutdruck sanken um −4,77 bzw. −1,41 mmHg. Keine erhöhten unerwünschten Ereignisse.</w:t>
      </w:r>
    </w:p>
    <w:p>
      <w:r>
        <w:rPr>
          <w:b/>
          <w:sz w:val="19"/>
        </w:rPr>
        <w:t xml:space="preserve">Übertragbarkeit: </w:t>
      </w:r>
      <w:r>
        <w:rPr>
          <w:sz w:val="19"/>
        </w:rPr>
        <w:t>USA/international; Kostenfrage in Deutschland entscheidend – Paragraph 34 SGB V schließt Arzneimittel aus.</w:t>
      </w:r>
    </w:p>
    <w:p>
      <w:r>
        <w:rPr>
          <w:color w:val="5A7D3A"/>
          <w:sz w:val="18"/>
        </w:rPr>
        <w:t>https://pubmed.ncbi.nlm.nih.gov/42837024/</w:t>
      </w:r>
    </w:p>
    <w:p>
      <w:pPr>
        <w:pStyle w:val="Heading2"/>
      </w:pPr>
      <w:r>
        <w:t>Chaotisches Zuhause fördert emotionales Überessen bei Kindern</w:t>
      </w:r>
    </w:p>
    <w:p>
      <w:r>
        <w:rPr>
          <w:i/>
          <w:color w:val="666666"/>
          <w:sz w:val="18"/>
        </w:rPr>
        <w:t>Zhang Z et al.  ·  Front Public Health  ·  21.09.2026  ·  PMID 42835025</w:t>
      </w:r>
    </w:p>
    <w:p>
      <w:r>
        <w:t>Querschnittstudie mit Längsbeobachtung bei 92 Vorschülern und 184 Schulkindern zu Zusammenhang zwischen Haushalts-Chaos und appetitiven Merkmalen.</w:t>
      </w:r>
    </w:p>
    <w:p>
      <w:r>
        <w:rPr>
          <w:b/>
        </w:rPr>
        <w:t xml:space="preserve">Ergebnis: </w:t>
      </w:r>
      <w:r>
        <w:t>Chaos korrelierte positiv mit emotionalem Überessen in beiden Kohorten (Vorschüler: β=0,18, p=0,04; Schulkinder: β=0,19, p=0,003). Bei Schulkindern zusätzlich höhere Essensreaktivität (β=0,21, p&lt;0,001) und niedrigere Sättigungsreaktivität (β=−0,14, p=0,03).</w:t>
      </w:r>
    </w:p>
    <w:p>
      <w:r>
        <w:rPr>
          <w:b/>
          <w:sz w:val="19"/>
        </w:rPr>
        <w:t xml:space="preserve">Übertragbarkeit: </w:t>
      </w:r>
      <w:r>
        <w:rPr>
          <w:sz w:val="19"/>
        </w:rPr>
        <w:t>USA, aber Mechanismus (Stressverarbeitung) kulturübergreifend relevant; modulierbar durch Familienunterstützung.</w:t>
      </w:r>
    </w:p>
    <w:p>
      <w:r>
        <w:rPr>
          <w:color w:val="5A7D3A"/>
          <w:sz w:val="18"/>
        </w:rPr>
        <w:t>https://pubmed.ncbi.nlm.nih.gov/42835025/</w:t>
      </w:r>
    </w:p>
    <w:p>
      <w:pPr>
        <w:pStyle w:val="Heading2"/>
      </w:pPr>
      <w:r>
        <w:t>Adipositas in Katar: 74 % übergewichtig, Familie und Geschlecht als Risikofaktoren</w:t>
      </w:r>
    </w:p>
    <w:p>
      <w:r>
        <w:rPr>
          <w:i/>
          <w:color w:val="666666"/>
          <w:sz w:val="18"/>
        </w:rPr>
        <w:t>Al-Thani MH et al.  ·  BMJ Open  ·  05.10.2026  ·  PMID 42833715</w:t>
      </w:r>
    </w:p>
    <w:p>
      <w:r>
        <w:t>Nationale Querschnittstudie (Mai–Dezember 2023) mit 5.696 erwachsenen Katarern zur Prävalenz und Risikofaktoren von Übergewicht und Adipositas.</w:t>
      </w:r>
    </w:p>
    <w:p>
      <w:r>
        <w:rPr>
          <w:b/>
        </w:rPr>
        <w:t xml:space="preserve">Ergebnis: </w:t>
      </w:r>
      <w:r>
        <w:t>Kombinierte Prävalenz von Übergewicht und Adipositas 74,2 % (Übergewicht 36,4 %, Adipositas 37,8 %). Höchstes Risiko bei Frauen, Alter ≥45 Jahren, Familiengeschichte Adipositas (aRRR=2,17, p=0,004), höherer Herzfrequenz und niedrigerem HDL-Cholesterin (aRRR=0,37, p=0,003).</w:t>
      </w:r>
    </w:p>
    <w:p>
      <w:r>
        <w:rPr>
          <w:b/>
          <w:sz w:val="19"/>
        </w:rPr>
        <w:t xml:space="preserve">Übertragbarkeit: </w:t>
      </w:r>
      <w:r>
        <w:rPr>
          <w:sz w:val="19"/>
        </w:rPr>
        <w:t>Gering – Golfstaat, andere Erwerbstätigenstruktur; Prävalenztrends aber global relevant.</w:t>
      </w:r>
    </w:p>
    <w:p>
      <w:r>
        <w:rPr>
          <w:color w:val="5A7D3A"/>
          <w:sz w:val="18"/>
        </w:rPr>
        <w:t>https://pubmed.ncbi.nlm.nih.gov/42833715/</w:t>
      </w:r>
    </w:p>
    <w:p>
      <w:pPr>
        <w:pStyle w:val="Heading2"/>
      </w:pPr>
      <w:r>
        <w:t>Alkohol erhöht Metabolisches Syndrom: Sport reduziert, hebt aber nicht auf</w:t>
      </w:r>
    </w:p>
    <w:p>
      <w:r>
        <w:rPr>
          <w:i/>
          <w:color w:val="666666"/>
          <w:sz w:val="18"/>
        </w:rPr>
        <w:t>Courtney JB et al.  ·  Alcohol Alcohol  ·  20.09.2026  ·  PMID 42831802</w:t>
      </w:r>
    </w:p>
    <w:p>
      <w:r>
        <w:t>Querschnittanalyse der US-Nationale Health and Nutrition Examination Survey (2011–2020, n=3.227–5.586) zu Wechselwirkung von körperlicher Aktivität und Alkoholkonsum mit Metabolischem Syndrom.</w:t>
      </w:r>
    </w:p>
    <w:p>
      <w:r>
        <w:rPr>
          <w:b/>
        </w:rPr>
        <w:t xml:space="preserve">Ergebnis: </w:t>
      </w:r>
      <w:r>
        <w:t>Höhere körperliche Aktivität (Q2–Q4) reduzierte MetS-Risikofaktoren dosisabhängig (Q4: IRR=0,73, 95%-KI: 0,67–0,80). Alkoholkonsum ≤0,50–0,75 Drinks/Tag mit moderater Aktivität (Q3–Q4) assoziiert mit niedrigerem MetS-Risiko (OR=0,43–0,44). Substanzielle Heterogenität bei hohem Alkoholkonsum aufgrund Datensparsamkeit.</w:t>
      </w:r>
    </w:p>
    <w:p>
      <w:r>
        <w:rPr>
          <w:b/>
          <w:sz w:val="19"/>
        </w:rPr>
        <w:t xml:space="preserve">Übertragbarkeit: </w:t>
      </w:r>
      <w:r>
        <w:rPr>
          <w:sz w:val="19"/>
        </w:rPr>
        <w:t>USA, aber Evidenz zur Dosis-Wirkung und Prävention durch Lebensstil übertragbar auf Deutschland.</w:t>
      </w:r>
    </w:p>
    <w:p>
      <w:r>
        <w:rPr>
          <w:color w:val="5A7D3A"/>
          <w:sz w:val="18"/>
        </w:rPr>
        <w:t>https://pubmed.ncbi.nlm.nih.gov/42831802/</w:t>
      </w:r>
    </w:p>
    <w:p>
      <w:pPr>
        <w:pStyle w:val="Heading2"/>
      </w:pPr>
      <w:r>
        <w:t>Adipositas und Nierensteine: Geschlechtsspezifische Unterschiede in 10-Jahres-Verlauf</w:t>
      </w:r>
    </w:p>
    <w:p>
      <w:r>
        <w:rPr>
          <w:i/>
          <w:color w:val="666666"/>
          <w:sz w:val="18"/>
        </w:rPr>
        <w:t>Tao K et al.  ·  Urolithiasis  ·  03.10.2026  ·  PMID 42828682</w:t>
      </w:r>
    </w:p>
    <w:p>
      <w:r>
        <w:t>Retrospektive Kohortenstudie mit 10 Jahren Nachbeobachtung (n=24.418) zu Geschlechts-Unterschieden zwischen anthropometrischen Indizes und Nierensteinrisiko.</w:t>
      </w:r>
    </w:p>
    <w:p>
      <w:r>
        <w:rPr>
          <w:b/>
        </w:rPr>
        <w:t xml:space="preserve">Ergebnis: </w:t>
      </w:r>
      <w:r>
        <w:t>Bei Männern: Taille, Hüftumfang, BMI, gewichtsangepasster Taille-Index und Body-Roundness-Index signifikant mit Nierenstein-Inzidenz assoziiert (alle HR 1,06–1,11, p&lt;0,001). Bei Frauen nur baseline-BMI relevant (HR=1,35, p=0,016); Längseffekte bei Frauen nicht signifikant. Geschlechtsspezifische Mechanismen offensichtlich.</w:t>
      </w:r>
    </w:p>
    <w:p>
      <w:r>
        <w:rPr>
          <w:b/>
          <w:sz w:val="19"/>
        </w:rPr>
        <w:t xml:space="preserve">Übertragbarkeit: </w:t>
      </w:r>
      <w:r>
        <w:rPr>
          <w:sz w:val="19"/>
        </w:rPr>
        <w:t>China, aber metabolisch-urologische Pathophysiologie universell; Fettverteilung bei Männern stärker prädiktiv.</w:t>
      </w:r>
    </w:p>
    <w:p>
      <w:r>
        <w:rPr>
          <w:color w:val="5A7D3A"/>
          <w:sz w:val="18"/>
        </w:rPr>
        <w:t>https://pubmed.ncbi.nlm.nih.gov/42828682/</w:t>
      </w:r>
    </w:p>
    <w:p>
      <w:pPr>
        <w:pStyle w:val="Heading2"/>
      </w:pPr>
      <w:r>
        <w:t>Nachhaltige Ernährung und Adipositas: Unerwartet höheres Risiko trotz optimierter Diät</w:t>
      </w:r>
    </w:p>
    <w:p>
      <w:r>
        <w:rPr>
          <w:i/>
          <w:color w:val="666666"/>
          <w:sz w:val="18"/>
        </w:rPr>
        <w:t>Bergmann C et al.  ·  Am J Clin Nutr  ·  11.08.2026  ·  PMID 42580635</w:t>
      </w:r>
    </w:p>
    <w:p>
      <w:r>
        <w:t>Longitudinale Kohortenstudie (7 Jahre) bei 1.499 Ghanaern zu Zusammenhang zwischen optimierter nachhaltiger Ernährung (niedrige Emissionen, Kosten) und Adipositasinzidenz.</w:t>
      </w:r>
    </w:p>
    <w:p>
      <w:r>
        <w:rPr>
          <w:b/>
        </w:rPr>
        <w:t xml:space="preserve">Ergebnis: </w:t>
      </w:r>
      <w:r>
        <w:t>Höhere Adhärenz zur optimierten Ernährung war mit 19 % erhöhtem Risiko für abdominale Adipositas assoziiert (95%-KI: 1,00–1,42; p=0,049), signifikant in ländlichen und städtischen Gebieten. Gesamtadherenz war niedrig, was unerwartet inverse Befunde erklären könnte.</w:t>
      </w:r>
    </w:p>
    <w:p>
      <w:r>
        <w:rPr>
          <w:b/>
          <w:sz w:val="19"/>
        </w:rPr>
        <w:t xml:space="preserve">Übertragbarkeit: </w:t>
      </w:r>
      <w:r>
        <w:rPr>
          <w:sz w:val="19"/>
        </w:rPr>
        <w:t>Ghana, vergleichbar strukturiertes Gesundheitswesen; begrenzte Übertragbarkeit des Effekts auf Deutschland ohne lokale Validierung.</w:t>
      </w:r>
    </w:p>
    <w:p>
      <w:r>
        <w:rPr>
          <w:color w:val="5A7D3A"/>
          <w:sz w:val="18"/>
        </w:rPr>
        <w:t>https://pubmed.ncbi.nlm.nih.gov/42580635/</w:t>
      </w:r>
    </w:p>
    <w:p>
      <w:pPr>
        <w:pStyle w:val="Heading1"/>
      </w:pPr>
      <w:r>
        <w:t>Aufgenommen am 06.10.2026</w:t>
      </w:r>
    </w:p>
    <w:p>
      <w:pPr>
        <w:pStyle w:val="Heading2"/>
      </w:pPr>
      <w:r>
        <w:t>Fettfreie Körpermasse nach Adipositaschirurgie variiert nach Geschlecht und Menopausenstatus, Fitness verbessert sich dennoch</w:t>
      </w:r>
    </w:p>
    <w:p>
      <w:r>
        <w:rPr>
          <w:i/>
          <w:color w:val="666666"/>
          <w:sz w:val="18"/>
        </w:rPr>
        <w:t>van der Meer R et al.  ·  Am J Clin Nutr  ·  04.09.2026  ·  PMID 42833817</w:t>
      </w:r>
    </w:p>
    <w:p>
      <w:r>
        <w:t>Longitudinale Kohortenstudie (SOPHIA) mit 1.022 Personen nach Adipositaschirurgie (221 Männer, 614 prämenopausale Frauen, 187 postmenopausale Frauen): Muster der fettfreien Körpermasse und kardiorespiratorische Fitness über ≥18 Monate bis 72 Monate nach Operation.</w:t>
      </w:r>
    </w:p>
    <w:p>
      <w:r>
        <w:rPr>
          <w:b/>
        </w:rPr>
        <w:t xml:space="preserve">Ergebnis: </w:t>
      </w:r>
      <w:r>
        <w:t>Bei 24 Monaten: prämenopausale Frauen verloren niedrigsten Anteil an fettfreier Körpermasse relativ zu Gewichtsverlust (24,7% vs. 27,1% Männer und 28,7% postmenopausale Frauen). Trotz substantiellem Verlust an fettfreier Körpermasse verbesserte sich maximale Sauerstoffaufnahme signifikant in allen Gruppen. Postoperative Veränderungen der fettfreien Körpermasse waren nicht unabhängig mit kardiorespiratorischer Fitness assoziiert.</w:t>
      </w:r>
    </w:p>
    <w:p>
      <w:r>
        <w:rPr>
          <w:b/>
          <w:sz w:val="19"/>
        </w:rPr>
        <w:t xml:space="preserve">Übertragbarkeit: </w:t>
      </w:r>
      <w:r>
        <w:rPr>
          <w:sz w:val="19"/>
        </w:rPr>
        <w:t>Niederlande, spezialisierte Adipositaschirurgie-Kohorte, vergleichbar mit deutschem System</w:t>
      </w:r>
    </w:p>
    <w:p>
      <w:r>
        <w:rPr>
          <w:color w:val="5A7D3A"/>
          <w:sz w:val="18"/>
        </w:rPr>
        <w:t>https://pubmed.ncbi.nlm.nih.gov/42833817/</w:t>
      </w:r>
    </w:p>
    <w:p>
      <w:pPr>
        <w:pStyle w:val="Heading2"/>
      </w:pPr>
      <w:r>
        <w:t>Kaiserschnitt moderat mit Übergewicht bei 6-jährigen Kindern assoziiert, Geschlecht mediiert Effekt</w:t>
      </w:r>
    </w:p>
    <w:p>
      <w:r>
        <w:rPr>
          <w:i/>
          <w:color w:val="666666"/>
          <w:sz w:val="18"/>
        </w:rPr>
        <w:t>Terashita S et al.  ·  Eur J Pediatr  ·  05.10.2026  ·  PMID 42832097</w:t>
      </w:r>
    </w:p>
    <w:p>
      <w:r>
        <w:t>Prospektive Kohortenstudie Japan Environment and Children's Study mit 64.281 Mutter-Kind-Paaren: Zusammenhang zwischen Kaiserschnitt-Entbindung und Übergewicht im Alter 6 Jahren nach internationalen Klassifikationskriterien.</w:t>
      </w:r>
    </w:p>
    <w:p>
      <w:r>
        <w:rPr>
          <w:b/>
        </w:rPr>
        <w:t xml:space="preserve">Ergebnis: </w:t>
      </w:r>
      <w:r>
        <w:t>Übergewicht bei 6 Jahren häufiger nach Kaiserschnitt als vaginal (10,7% vs. 8,8%). Nach Anpassung: adjustierte OR 1,09 (95%-KI 1,02–1,16). Geschlechtsspezifische Analysen zeigten: Kaiserschnitt mit neu entwickeltem Übergewicht zwischen 3–6 Jahren bei Mädchen, nicht bei Jungen assoziiert. Kaiserschnitt nicht signifikant mit früherer adiposity rebound assoziiert.</w:t>
      </w:r>
    </w:p>
    <w:p>
      <w:r>
        <w:rPr>
          <w:b/>
          <w:sz w:val="19"/>
        </w:rPr>
        <w:t xml:space="preserve">Übertragbarkeit: </w:t>
      </w:r>
      <w:r>
        <w:rPr>
          <w:sz w:val="19"/>
        </w:rPr>
        <w:t>Japan, große nationale Geburtskohorte; Übertragbarkeit auf Deutschland begrenzt durch unterschiedliche Kaiserschnittquoten und ethnische Zusammensetzung</w:t>
      </w:r>
    </w:p>
    <w:p>
      <w:r>
        <w:rPr>
          <w:color w:val="5A7D3A"/>
          <w:sz w:val="18"/>
        </w:rPr>
        <w:t>https://pubmed.ncbi.nlm.nih.gov/42832097/</w:t>
      </w:r>
    </w:p>
    <w:p>
      <w:pPr>
        <w:pStyle w:val="Heading2"/>
      </w:pPr>
      <w:r>
        <w:t>Telefonische Pflege-Beratung zeigte kurzzeitige Verbesserung der Körperzusammensetzung, nicht aber dauerhafte Effekte</w:t>
      </w:r>
    </w:p>
    <w:p>
      <w:r>
        <w:rPr>
          <w:i/>
          <w:color w:val="666666"/>
          <w:sz w:val="18"/>
        </w:rPr>
        <w:t>Garcia-Coll N et al.  ·  Front Endocrinol (Lausanne)  ·  17.09.2026  ·  PMID 42824031</w:t>
      </w:r>
    </w:p>
    <w:p>
      <w:r>
        <w:t>Sekundäranalyse der randomisierten PREDIPHONE-Studie mit 174 Erwachsenen (Durchschnittsalter 61 Jahre, 52% Frauen) mit Prädiabetes und Übergewicht/Adipositas: Vergleich einer telefonischen Pflege-Lebensstiländerung vs. SMS-Kontrolle über 15 Monate mit Körperzusammensetzungsmessungen.</w:t>
      </w:r>
    </w:p>
    <w:p>
      <w:r>
        <w:rPr>
          <w:b/>
        </w:rPr>
        <w:t xml:space="preserve">Ergebnis: </w:t>
      </w:r>
      <w:r>
        <w:t>Nach 4 Monaten: Reduktion von viszeralem Fett und Fettmasse in der Interventionsgruppe vs. Kontrolle. Diese Verbesserungen hielten nicht bei 9 oder 15 Monaten an. Keine signifikanten Unterschiede in Muskelaufbau oder BMI. Intensivere oder längerfristige Strategien könnten erforderlich sein für nachhaltige Effekte.</w:t>
      </w:r>
    </w:p>
    <w:p>
      <w:r>
        <w:rPr>
          <w:b/>
          <w:sz w:val="19"/>
        </w:rPr>
        <w:t xml:space="preserve">Übertragbarkeit: </w:t>
      </w:r>
      <w:r>
        <w:rPr>
          <w:sz w:val="19"/>
        </w:rPr>
        <w:t>Spanien, primärärztliche Telemedizin-Intervention, vergleichbar mit deutschem Versorgungskontext</w:t>
      </w:r>
    </w:p>
    <w:p>
      <w:r>
        <w:rPr>
          <w:color w:val="5A7D3A"/>
          <w:sz w:val="18"/>
        </w:rPr>
        <w:t>https://pubmed.ncbi.nlm.nih.gov/42824031/</w:t>
      </w:r>
    </w:p>
    <w:p>
      <w:pPr>
        <w:pStyle w:val="Heading2"/>
      </w:pPr>
      <w:r>
        <w:t>GLP-1-Rezeptoragonisten: nephroprotektive Effekte bei chronischer Nierenkrankheit und Diabetes</w:t>
      </w:r>
    </w:p>
    <w:p>
      <w:r>
        <w:rPr>
          <w:i/>
          <w:color w:val="666666"/>
          <w:sz w:val="18"/>
        </w:rPr>
        <w:t>Boeckhaus J et al.  ·  Clin Sci (Lond)  ·  14.10.2026  ·  PMID 42820470</w:t>
      </w:r>
    </w:p>
    <w:p>
      <w:r>
        <w:t>Narrative Übersichtsarbeit zur Evidenz von GLP-1-Rezeptoragonisten in der Nierenprotektion: Mechanismen und klinische Ergebnisse aus kardiovaskulären Studien und Nierenschutz-Studien bei Typ-2-Diabetes mit chronischer Nierenkrankheit.</w:t>
      </w:r>
    </w:p>
    <w:p>
      <w:r>
        <w:rPr>
          <w:b/>
        </w:rPr>
        <w:t xml:space="preserve">Ergebnis: </w:t>
      </w:r>
      <w:r>
        <w:t>GLP-1-Rezeptoragonisten zeigen Reduktion schwerwiegender kardiovaskulärer Ereignisse, Verlangsamung der Nierenkrankheitsprogression (gemessen an eGFR-Rückgang) und Albuminurie-Reduktion. Mechanismen beinhalten anti-inflammatorische, anti-fibrotische und antioxidative Effekte. Autoren betonen Sicherheitsprofile und mögliche Risiken.</w:t>
      </w:r>
    </w:p>
    <w:p>
      <w:r>
        <w:rPr>
          <w:b/>
          <w:sz w:val="19"/>
        </w:rPr>
        <w:t xml:space="preserve">Übertragbarkeit: </w:t>
      </w:r>
      <w:r>
        <w:rPr>
          <w:sz w:val="19"/>
        </w:rPr>
        <w:t>UK, Übersicht internationaler Studienevidenz; Kostenübernahme in Deutschland eingeschränkt (§34 SGB V)</w:t>
      </w:r>
    </w:p>
    <w:p>
      <w:r>
        <w:rPr>
          <w:color w:val="5A7D3A"/>
          <w:sz w:val="18"/>
        </w:rPr>
        <w:t>https://pubmed.ncbi.nlm.nih.gov/42820470/</w:t>
      </w:r>
    </w:p>
    <w:p>
      <w:pPr>
        <w:pStyle w:val="Heading2"/>
      </w:pPr>
      <w:r>
        <w:t>Vertraute Ärzte verbessern Erfolg von Video-Lebensstiländerungen bei Adipositas</w:t>
      </w:r>
    </w:p>
    <w:p>
      <w:r>
        <w:rPr>
          <w:i/>
          <w:color w:val="666666"/>
          <w:sz w:val="18"/>
        </w:rPr>
        <w:t>Taverner-Aparicio A et al.  ·  Patient Educ Couns  ·  07.09.2026  ·  PMID 42727166</w:t>
      </w:r>
    </w:p>
    <w:p>
      <w:r>
        <w:t>Randomisierte Studie an 115 Erwachsenen mit Übergewicht oder Adipositas Grad I in Valencia: Vergleich videogestützter Lebensstiländerung von bekannten vs. unbekannten Primärärzten.</w:t>
      </w:r>
    </w:p>
    <w:p>
      <w:r>
        <w:rPr>
          <w:b/>
        </w:rPr>
        <w:t xml:space="preserve">Ergebnis: </w:t>
      </w:r>
      <w:r>
        <w:t>Patienten der bekannten Ärzte erreichten -0,5 kg/m² BMI mehr (95%-KI -0,9 bis -0,1; p=0,013) und reduzierten wöchentliche Sitzzeit um 39 Minuten (95%-KI -77 bis -0,2; p=0,049). Per-Protocol-Analyse zeigte -0,9 kg/m² (95%-KI -1,6 bis -0,2; p=0,009). Kontinuität in der ärztlichen Beziehung trägt zur Wirksamkeit digitaler Lebensstiländerungen bei.</w:t>
      </w:r>
    </w:p>
    <w:p>
      <w:r>
        <w:rPr>
          <w:b/>
          <w:sz w:val="19"/>
        </w:rPr>
        <w:t xml:space="preserve">Übertragbarkeit: </w:t>
      </w:r>
      <w:r>
        <w:rPr>
          <w:sz w:val="19"/>
        </w:rPr>
        <w:t>Spanien, primärärztliche Versorgung, vergleichbar mit deutschem Gesundheitssystem</w:t>
      </w:r>
    </w:p>
    <w:p>
      <w:r>
        <w:rPr>
          <w:color w:val="5A7D3A"/>
          <w:sz w:val="18"/>
        </w:rPr>
        <w:t>https://pubmed.ncbi.nlm.nih.gov/42727166/</w:t>
      </w:r>
    </w:p>
    <w:p>
      <w:pPr>
        <w:pStyle w:val="Heading2"/>
      </w:pPr>
      <w:r>
        <w:t>Proteinquellen in der Schwangerschaft beeinflussen Gewichtsverlauf von Mutter und Kind</w:t>
      </w:r>
    </w:p>
    <w:p>
      <w:r>
        <w:rPr>
          <w:i/>
          <w:color w:val="666666"/>
          <w:sz w:val="18"/>
        </w:rPr>
        <w:t>Zhang H et al.  ·  Am J Clin Nutr  ·  11.09.2026  ·  PMID 42665051</w:t>
      </w:r>
    </w:p>
    <w:p>
      <w:r>
        <w:t>Prospektive Kohortenstudie mit 59.791 dänischen Müttern: Zusammenhang zwischen Proteinquellen in Woche 25 der Gravidität und Gewichtsretention &gt;5 kg postpartal sowie Übergewicht/Adipositas der Kinder im Alter 7–11 Jahren.</w:t>
      </w:r>
    </w:p>
    <w:p>
      <w:r>
        <w:rPr>
          <w:b/>
        </w:rPr>
        <w:t xml:space="preserve">Ergebnis: </w:t>
      </w:r>
      <w:r>
        <w:t>Höhere pflanzliche Proteinzufuhr senkte Risiko mütterlicher Gewichtsretention &gt;5 kg (Q5 vs. Q1: RR 0,86; 95%-KI 0,81–0,91). Höhere Rotfleischproteinzufuhr erhöhte Risiko (RR 1,11; 95%-KI 1,05–1,17). Bei Kindern: höhere tierische Proteine (RR 1,12; 95%-KI 1,05–1,19) und Rotfleisch (RR 1,06; 95%-KI 1,00–1,13) mit höherem Adipositasrisiko. Ersatz von 1% Rotfleisch- oder Milchprotein durch Geflügel/Fisch reduzierte mütterliches Risiko um 4–6%.</w:t>
      </w:r>
    </w:p>
    <w:p>
      <w:r>
        <w:rPr>
          <w:b/>
          <w:sz w:val="19"/>
        </w:rPr>
        <w:t xml:space="preserve">Übertragbarkeit: </w:t>
      </w:r>
      <w:r>
        <w:rPr>
          <w:sz w:val="19"/>
        </w:rPr>
        <w:t>Dänemark, Geburtskohortenstudie, direkt auf deutschsprachige Prävention übertragbar</w:t>
      </w:r>
    </w:p>
    <w:p>
      <w:r>
        <w:rPr>
          <w:color w:val="5A7D3A"/>
          <w:sz w:val="18"/>
        </w:rPr>
        <w:t>https://pubmed.ncbi.nlm.nih.gov/42665051/</w:t>
      </w:r>
    </w:p>
    <w:p>
      <w:pPr>
        <w:pStyle w:val="Heading1"/>
      </w:pPr>
      <w:r>
        <w:t>Aufgenommen am 05.10.2026</w:t>
      </w:r>
    </w:p>
    <w:p>
      <w:pPr>
        <w:pStyle w:val="Heading2"/>
      </w:pPr>
      <w:r>
        <w:t>BMI-Anforderungen für Organtransplantation in USA: Drei Staaten mit Ausschlusskriterium, 32 unklar</w:t>
      </w:r>
    </w:p>
    <w:p>
      <w:r>
        <w:rPr>
          <w:i/>
          <w:color w:val="666666"/>
          <w:sz w:val="18"/>
        </w:rPr>
        <w:t>Klitenic SB et al.  ·  Clin Transplant  ·  Okt. 2026  ·  PMID 42829945</w:t>
      </w:r>
    </w:p>
    <w:p>
      <w:r>
        <w:t>Ein Review aller 50 US-Bundesstaaten identifizierte, ob Medicaid explizite BMI-Grenzen für die Kostenübernahme von Herz-, Lungen-, Leber-, Nieren-, Pankreas- oder Dünndarmtransplantationen haben.</w:t>
      </w:r>
    </w:p>
    <w:p>
      <w:r>
        <w:rPr>
          <w:b/>
        </w:rPr>
        <w:t xml:space="preserve">Ergebnis: </w:t>
      </w:r>
      <w:r>
        <w:t>Nur drei Staaten (Hawaii, Iowa, North Carolina) hatten restriktive BMI-Vorgaben – allein für Herz, Lunge und kombinierte Transplantationen. 32 Staaten und DC hatten teils restriktive Richtlinien; 15 hatten keine. Kriterien stammten meist von Managed-Care-Organisationen, nicht von staatlicher Regulierung. Keine Beschränkung für Nieren-, Leber- oder Pankreas-Transplantation.</w:t>
      </w:r>
    </w:p>
    <w:p>
      <w:r>
        <w:rPr>
          <w:b/>
          <w:sz w:val="19"/>
        </w:rPr>
        <w:t xml:space="preserve">Übertragbarkeit: </w:t>
      </w:r>
      <w:r>
        <w:rPr>
          <w:sz w:val="19"/>
        </w:rPr>
        <w:t>USA, Medicaid-System nicht mit deutschem SGB V vergleichbar; Erstattungsfragen jedoch relevant</w:t>
      </w:r>
    </w:p>
    <w:p>
      <w:r>
        <w:rPr>
          <w:color w:val="5A7D3A"/>
          <w:sz w:val="18"/>
        </w:rPr>
        <w:t>https://pubmed.ncbi.nlm.nih.gov/42829945/</w:t>
      </w:r>
    </w:p>
    <w:p>
      <w:pPr>
        <w:pStyle w:val="Heading2"/>
      </w:pPr>
      <w:r>
        <w:t>GLP-1-Rezeptoragonisten senken 90-Tage-Mortalität nach Sepsis um 19 % gegenüber SGLT2-Inhibitoren</w:t>
      </w:r>
    </w:p>
    <w:p>
      <w:r>
        <w:rPr>
          <w:i/>
          <w:color w:val="666666"/>
          <w:sz w:val="18"/>
        </w:rPr>
        <w:t>Liu HH et al.  ·  Drug Des Devel Ther  ·  29.09.2026  ·  PMID 42829714</w:t>
      </w:r>
    </w:p>
    <w:p>
      <w:r>
        <w:t>Eine retrospektive Kohortenanalyse von 11.969 Patienten pro Gruppe mit Typ-2-Diabetes, die vor Sepsisaufnahme entweder GLP-1-Rezeptoragonisten oder SGLT2-Inhibitoren erhielten, verglich klinische Ergebnisse.</w:t>
      </w:r>
    </w:p>
    <w:p>
      <w:r>
        <w:rPr>
          <w:b/>
        </w:rPr>
        <w:t xml:space="preserve">Ergebnis: </w:t>
      </w:r>
      <w:r>
        <w:t>Unter GLP-1-RA-Exposition betrug die 90-Tage-Mortalität 48,6 pro 100 Personenjahre vs. 60,6 unter SGLT2i (Hazard Ratio 0,81; 95%-KI 0,75–0,88). Auch schwerwiegende kardiovaskuläre Ereignisse waren seltener (HR 0,77). Die Effekte waren bei Subgruppenanalysen konsistent, doch der E-Wert (1,6) und Baselineunterschiede deuten auf residuelle Verwirrung hin.</w:t>
      </w:r>
    </w:p>
    <w:p>
      <w:r>
        <w:rPr>
          <w:b/>
          <w:sz w:val="19"/>
        </w:rPr>
        <w:t xml:space="preserve">Übertragbarkeit: </w:t>
      </w:r>
      <w:r>
        <w:rPr>
          <w:sz w:val="19"/>
        </w:rPr>
        <w:t>USA, TriNetX-Netzwerk; Aussage über Arzneimittelvorteil bei Sepsis ist systemübergreifend relevant, aber Kostenumdefinition in Deutschland andere</w:t>
      </w:r>
    </w:p>
    <w:p>
      <w:r>
        <w:rPr>
          <w:color w:val="5A7D3A"/>
          <w:sz w:val="18"/>
        </w:rPr>
        <w:t>https://pubmed.ncbi.nlm.nih.gov/42829714/</w:t>
      </w:r>
    </w:p>
    <w:p>
      <w:pPr>
        <w:pStyle w:val="Heading2"/>
      </w:pPr>
      <w:r>
        <w:t>Nachtschichten bei Pflegekräften: 6,7-fach höheres Metabolisches-Syndrom-Risiko bei ≥4 Schichten/Monat</w:t>
      </w:r>
    </w:p>
    <w:p>
      <w:r>
        <w:rPr>
          <w:i/>
          <w:color w:val="666666"/>
          <w:sz w:val="18"/>
        </w:rPr>
        <w:t>Yang Y et al.  ·  Front Public Health  ·  18.09.2026  ·  PMID 42827874</w:t>
      </w:r>
    </w:p>
    <w:p>
      <w:r>
        <w:t>Eine Querschnittsstudie von 719 Gesundheitsbeschäftigten in China untersuchte, ob Nachtschichthäufigkeit das Metabolische Syndrom (MetS) über Stress und Schlafqualität vorhersagt.</w:t>
      </w:r>
    </w:p>
    <w:p>
      <w:r>
        <w:rPr>
          <w:b/>
        </w:rPr>
        <w:t xml:space="preserve">Ergebnis: </w:t>
      </w:r>
      <w:r>
        <w:t>Von 719 Fachkräften hatten 124 (17,2 %) MetS. Bei ≥4 Nachtschichten pro Monat war die bereinigte Odds Ratio 6,65 (95%-KI 2,56–17,28) gegenüber 0 Schichten. Die indirekte Assoziation über beruflichen Stress betrug 27,7 % der Gesamtassoziation und war bei schlechterer Schlafqualität stärker. Dies deutet auf einen therapeutischen Ansatzpunkt hin.</w:t>
      </w:r>
    </w:p>
    <w:p>
      <w:r>
        <w:rPr>
          <w:b/>
          <w:sz w:val="19"/>
        </w:rPr>
        <w:t xml:space="preserve">Übertragbarkeit: </w:t>
      </w:r>
      <w:r>
        <w:rPr>
          <w:sz w:val="19"/>
        </w:rPr>
        <w:t>China, aber berufliche Arbeitsbedingungen in der Pflege sind systemübergreifend ähnlich</w:t>
      </w:r>
    </w:p>
    <w:p>
      <w:r>
        <w:rPr>
          <w:color w:val="5A7D3A"/>
          <w:sz w:val="18"/>
        </w:rPr>
        <w:t>https://pubmed.ncbi.nlm.nih.gov/42827874/</w:t>
      </w:r>
    </w:p>
    <w:p>
      <w:pPr>
        <w:pStyle w:val="Heading2"/>
      </w:pPr>
      <w:r>
        <w:t>Polnische Adipositas-Dokumentation: vier ICD-10-Serien ergeben 4,7-fachen Unterschied</w:t>
      </w:r>
    </w:p>
    <w:p>
      <w:r>
        <w:rPr>
          <w:i/>
          <w:color w:val="666666"/>
          <w:sz w:val="18"/>
        </w:rPr>
        <w:t>Poboży M et al.  ·  Front Public Health  ·  18.09.2026  ·  PMID 42827465</w:t>
      </w:r>
    </w:p>
    <w:p>
      <w:r>
        <w:t>Eine Auditierung der polnischen National Health Fund-Daten von 2015–2025 zeigte, dass dieselbe ICD-10-E66-Kodierung je nach analytischer Definition vier völlig unterschiedliche administrative Trajektorien liefert, was Surveillance und Politikentscheidungen erschwert.</w:t>
      </w:r>
    </w:p>
    <w:p>
      <w:r>
        <w:rPr>
          <w:b/>
        </w:rPr>
        <w:t xml:space="preserve">Ergebnis: </w:t>
      </w:r>
      <w:r>
        <w:t>Je nach Messmethode lagen 2025 zwischen 325.769 und 1.534.022 Personen mit Adipositas in den Datenreihen vor; die jährliche prozentuale Veränderung reichte von 10,5 bis 14,5 %. Während 2020 die Morbidität nur um 3,5 % absank, betrug der Rückgang bei Serien mit aktueller Aktivität −39,4 bis −44,3 %. Das zeigt, dass Wachstumsmeldungen nicht zwischen echter klinischer Zunahme und Veränderungen bei Erfassung, Zugang und Dokumentation unterscheiden können.</w:t>
      </w:r>
    </w:p>
    <w:p>
      <w:r>
        <w:rPr>
          <w:b/>
          <w:sz w:val="19"/>
        </w:rPr>
        <w:t xml:space="preserve">Übertragbarkeit: </w:t>
      </w:r>
      <w:r>
        <w:rPr>
          <w:sz w:val="19"/>
        </w:rPr>
        <w:t>Polen, vergleichbares Versicherungssystem, direkt auf deutsche Kodierungsprobleme übertragbar</w:t>
      </w:r>
    </w:p>
    <w:p>
      <w:r>
        <w:rPr>
          <w:color w:val="5A7D3A"/>
          <w:sz w:val="18"/>
        </w:rPr>
        <w:t>https://pubmed.ncbi.nlm.nih.gov/42827465/</w:t>
      </w:r>
    </w:p>
    <w:p>
      <w:pPr>
        <w:pStyle w:val="Heading2"/>
      </w:pPr>
      <w:r>
        <w:t>TyG-Waist-Circumference vorhersagt kardiovaskuläre Ereignisse bei älteren Landbewohnern besser als TyG-Index allein</w:t>
      </w:r>
    </w:p>
    <w:p>
      <w:r>
        <w:rPr>
          <w:i/>
          <w:color w:val="666666"/>
          <w:sz w:val="18"/>
        </w:rPr>
        <w:t>Xue Y et al.  ·  Front Endocrinol (Lausanne)  ·  30.09.2026  ·  PMID 42818901</w:t>
      </w:r>
    </w:p>
    <w:p>
      <w:r>
        <w:t>Eine 6-jährige Kohortenanalyse von 4.169 älteren Landbewohnern (≥65 Jahre) in China verglich die prädiktive Kraft von Basis-, kumulative Exposition und jährliche Änderungen des Triglyzerid-Glukose-Index und seiner Ableitungen für kardiovaskuläre Ereignisse.</w:t>
      </w:r>
    </w:p>
    <w:p>
      <w:r>
        <w:rPr>
          <w:b/>
        </w:rPr>
        <w:t xml:space="preserve">Ergebnis: </w:t>
      </w:r>
      <w:r>
        <w:t>822 kardiovaskuläre Ereignisse ereigneten sich während des Nachbeobachtung. Basis- und kumulative TyG-WC zeigten konsistent starke Assoziationen (p &lt; 0,001), mit kumulativen Maßen etwas stärker. Jährliche Mittelwertänderungen waren schwächer prädiktiv. TyG-WC zeigte über alle Nachbeobachtungszeiträume optimale prädiktive Performance; die Basis-Messung war so wertvoll wie die kumulative.</w:t>
      </w:r>
    </w:p>
    <w:p>
      <w:r>
        <w:rPr>
          <w:b/>
          <w:sz w:val="19"/>
        </w:rPr>
        <w:t xml:space="preserve">Übertragbarkeit: </w:t>
      </w:r>
      <w:r>
        <w:rPr>
          <w:sz w:val="19"/>
        </w:rPr>
        <w:t>China, aber Screening-Methodik in ländlichen Primärversorgungssettings systemübergreifend anwendbar</w:t>
      </w:r>
    </w:p>
    <w:p>
      <w:r>
        <w:rPr>
          <w:color w:val="5A7D3A"/>
          <w:sz w:val="18"/>
        </w:rPr>
        <w:t>https://pubmed.ncbi.nlm.nih.gov/42818901/</w:t>
      </w:r>
    </w:p>
    <w:p>
      <w:pPr>
        <w:pStyle w:val="Heading2"/>
      </w:pPr>
      <w:r>
        <w:t>Höheres BMI verschlechtert Lymphknotentransfer-Ergebnis um 30–50 % bei Lymphödem</w:t>
      </w:r>
    </w:p>
    <w:p>
      <w:r>
        <w:rPr>
          <w:i/>
          <w:color w:val="666666"/>
          <w:sz w:val="18"/>
        </w:rPr>
        <w:t>Kappos EA et al.  ·  J Plast Reconstr Aesthet Surg  ·  02.08.2026  ·  PMID 42594515</w:t>
      </w:r>
    </w:p>
    <w:p>
      <w:r>
        <w:t>Eine prospektive multizentrische Kohortenstudie (2016–2025) aus der Schweiz und Deutschland prüfte, ob Geschlecht, Alter und BMI die Langzeitergebnisse von Lymphgefäßanastomose oder vaskulärisiertem Lymphknotentransfer beeinflussen.</w:t>
      </w:r>
    </w:p>
    <w:p>
      <w:r>
        <w:rPr>
          <w:b/>
        </w:rPr>
        <w:t xml:space="preserve">Ergebnis: </w:t>
      </w:r>
      <w:r>
        <w:t>Bei Lymphödem der oberen Extremität war höheres BMI mit ungünstigerer Therapieantwort assoziiert (relatives Übergewichtsreduktionsmaß nach 12 und 18 Monaten signifikant erniedrigt). Männer mit Unterschenkelödem zeigten bessere Ansprechraten. Komplikationsraten unterschieden sich nicht. Präoperativer Gewichtsverlust könnte die Ergebnisse verbessern.</w:t>
      </w:r>
    </w:p>
    <w:p>
      <w:r>
        <w:rPr>
          <w:b/>
          <w:sz w:val="19"/>
        </w:rPr>
        <w:t xml:space="preserve">Übertragbarkeit: </w:t>
      </w:r>
      <w:r>
        <w:rPr>
          <w:sz w:val="19"/>
        </w:rPr>
        <w:t>Schweiz und Deutschland, direkt übertragbar auf deutsches Gesundheitssystem</w:t>
      </w:r>
    </w:p>
    <w:p>
      <w:r>
        <w:rPr>
          <w:color w:val="5A7D3A"/>
          <w:sz w:val="18"/>
        </w:rPr>
        <w:t>https://pubmed.ncbi.nlm.nih.gov/42594515/</w:t>
      </w:r>
    </w:p>
    <w:p>
      <w:pPr>
        <w:pStyle w:val="Heading1"/>
      </w:pPr>
      <w:r>
        <w:t>Aufgenommen am 04.10.2026</w:t>
      </w:r>
    </w:p>
    <w:p>
      <w:pPr>
        <w:pStyle w:val="Heading2"/>
      </w:pPr>
      <w:r>
        <w:t>Familienbasierte Intervention: 5,3% der Eltern-Kind-Paare erreichten klinisch bedeutsame Gewichtsziele</w:t>
      </w:r>
    </w:p>
    <w:p>
      <w:r>
        <w:rPr>
          <w:i/>
          <w:color w:val="666666"/>
          <w:sz w:val="18"/>
        </w:rPr>
        <w:t>Vitoratou DI et al.  ·  Pediatr Obes  ·  Okt. 2026  ·  PMID 42827214</w:t>
      </w:r>
    </w:p>
    <w:p>
      <w:r>
        <w:t>Europäische Schulen und Gemeinden: 2402 Familien mit Übergewicht/Adipositas oder Typ-2-Diabetes-Risiko wurden in Feel4Diabetes randomisiert und 2 Jahre nachbeobachtet. Erfolg war definiert als ≥5% Gewichtsverlust bei Eltern und ≥0,15-Punkte-Reduktion des BMI-z bei Kindern.</w:t>
      </w:r>
    </w:p>
    <w:p>
      <w:r>
        <w:rPr>
          <w:b/>
        </w:rPr>
        <w:t xml:space="preserve">Ergebnis: </w:t>
      </w:r>
      <w:r>
        <w:t>Nach 2 Jahren erreichten nur 5,3% beider Familienmitglieder die Zielkriterien. Interventionsgruppeneilnahme (OR 2,56) und Wohnen in wohlhabenderen Ländern unter Sparmaßnahmen (OR 2,44) waren signifikante Erfolgsprädiktor. Mädchen verbesserten sich häufiger als Jungen, vollzeitberufstätige Mütter zeigten niedrigere Erfolgsquoten. Die geringe Quote unterstreicht Limitationen familienbasierter Präventionsprogramme in der Routinepraxis.</w:t>
      </w:r>
    </w:p>
    <w:p>
      <w:r>
        <w:rPr>
          <w:b/>
          <w:sz w:val="19"/>
        </w:rPr>
        <w:t xml:space="preserve">Übertragbarkeit: </w:t>
      </w:r>
      <w:r>
        <w:rPr>
          <w:sz w:val="19"/>
        </w:rPr>
        <w:t>Sechs europäische Länder, vergleichbare Schulstrukturen und Gesundheitssysteme</w:t>
      </w:r>
    </w:p>
    <w:p>
      <w:r>
        <w:rPr>
          <w:color w:val="5A7D3A"/>
          <w:sz w:val="18"/>
        </w:rPr>
        <w:t>https://pubmed.ncbi.nlm.nih.gov/42827214/</w:t>
      </w:r>
    </w:p>
    <w:p>
      <w:pPr>
        <w:pStyle w:val="Heading2"/>
      </w:pPr>
      <w:r>
        <w:t>COPD und Adipositas: Mortalität stieg von 0,78 auf 2,63 pro 100.000 (1999–2023)</w:t>
      </w:r>
    </w:p>
    <w:p>
      <w:r>
        <w:rPr>
          <w:i/>
          <w:color w:val="666666"/>
          <w:sz w:val="18"/>
        </w:rPr>
        <w:t>Khan AA et al.  ·  Medicine (Baltimore)  ·  02.10.2026  ·  PMID 42826321</w:t>
      </w:r>
    </w:p>
    <w:p>
      <w:r>
        <w:t>USA-Mortalitätstrends: 130.958 Todesfälle mit COPD und Adipositas gleichzeitig dokumentiert 1999–2023 aus CDC-Daten mit Alter-Adjustierung auf US-Bevölkerung 2000.</w:t>
      </w:r>
    </w:p>
    <w:p>
      <w:r>
        <w:rPr>
          <w:b/>
        </w:rPr>
        <w:t xml:space="preserve">Ergebnis: </w:t>
      </w:r>
      <w:r>
        <w:t>Altersstandardisierte Mortalitätsrate stieg von 0,78 (95%-KI 0,74–0,82) 1999 auf 2,63 (95%-KI 2,57–2,68) 2023 (durchschnittliche jährliche Veränderung +5,14%, 95%-KI 4,09–6,21). Nach 2013 flach, 2018–2021 sprunghaft +17,45%, 2021–2023 fallend −13,45%. Männer und Erwachsene ≥65 Jahre stärker betroffen mit regionalen und ethnischen Unterschieden. Verbindung unklar, Rauchen und Schweregrad nicht erfasst.</w:t>
      </w:r>
    </w:p>
    <w:p>
      <w:r>
        <w:rPr>
          <w:b/>
          <w:sz w:val="19"/>
        </w:rPr>
        <w:t xml:space="preserve">Übertragbarkeit: </w:t>
      </w:r>
      <w:r>
        <w:rPr>
          <w:sz w:val="19"/>
        </w:rPr>
        <w:t>USA mit privater Finanzierung, grundlegend andere Gesundheitssystemstruktur</w:t>
      </w:r>
    </w:p>
    <w:p>
      <w:r>
        <w:rPr>
          <w:color w:val="5A7D3A"/>
          <w:sz w:val="18"/>
        </w:rPr>
        <w:t>https://pubmed.ncbi.nlm.nih.gov/42826321/</w:t>
      </w:r>
    </w:p>
    <w:p>
      <w:pPr>
        <w:pStyle w:val="Heading2"/>
      </w:pPr>
      <w:r>
        <w:t>Metabolisches Syndrom betraf 10–19% junger Arbeitnehmer, Definitionen differierten stark</w:t>
      </w:r>
    </w:p>
    <w:p>
      <w:r>
        <w:rPr>
          <w:i/>
          <w:color w:val="666666"/>
          <w:sz w:val="18"/>
        </w:rPr>
        <w:t>Ma L et al.  ·  Medicine (Baltimore)  ·  02.10.2026  ·  PMID 42826298</w:t>
      </w:r>
    </w:p>
    <w:p>
      <w:r>
        <w:t>Chinesische Querschnittsstudie: 420 Arbeitnehmer im Gesundheitswesen (Alter 20–45 Jahre) mit annuellen Routineuntersuchungen 2022–2024 nach drei Kriterien-Sets (IDF, NCEP ATP III, CDS) klassifiziert.</w:t>
      </w:r>
    </w:p>
    <w:p>
      <w:r>
        <w:rPr>
          <w:b/>
        </w:rPr>
        <w:t xml:space="preserve">Ergebnis: </w:t>
      </w:r>
      <w:r>
        <w:t>Prävalenzen variierten: IDF 15,5%, NCEP ATP III 18,6%, CDS 10,2%. Männer überrepräsentiert. Übereinstimmung fast vollkommen (IDF-NCEP: κ=0,82), substanziell zu CDS (κ=0,61–0,64). Alle Syndrome stark mit 10-Jahres-Herzinfarkt-Risiko (China-PAR) assoziiert: aOR 5,1–7,1. Die unterschiedlichen Prävalenzen je Definition erschweren internationale Vergleichbarkeit.</w:t>
      </w:r>
    </w:p>
    <w:p>
      <w:r>
        <w:rPr>
          <w:b/>
          <w:sz w:val="19"/>
        </w:rPr>
        <w:t xml:space="preserve">Übertragbarkeit: </w:t>
      </w:r>
      <w:r>
        <w:rPr>
          <w:sz w:val="19"/>
        </w:rPr>
        <w:t>China, begrenzt übertragbar auf deutsche Strukturen und Meßmethoden</w:t>
      </w:r>
    </w:p>
    <w:p>
      <w:r>
        <w:rPr>
          <w:color w:val="5A7D3A"/>
          <w:sz w:val="18"/>
        </w:rPr>
        <w:t>https://pubmed.ncbi.nlm.nih.gov/42826298/</w:t>
      </w:r>
    </w:p>
    <w:p>
      <w:pPr>
        <w:pStyle w:val="Heading2"/>
      </w:pPr>
      <w:r>
        <w:t>Semaglutid-Gewichtsverlust stark variabel: Frauen −6% vs. Männer, Typ-2-Diabetes mindert Effekt</w:t>
      </w:r>
    </w:p>
    <w:p>
      <w:r>
        <w:rPr>
          <w:i/>
          <w:color w:val="666666"/>
          <w:sz w:val="18"/>
        </w:rPr>
        <w:t>Tzoulis P  ·  Front Endocrinol (Lausanne)  ·  17.09.2026  ·  PMID 42824923</w:t>
      </w:r>
    </w:p>
    <w:p>
      <w:r>
        <w:t>Narratives Mini-Review: Zusammenfassung von Semaglutid-Wirksamkeitsstudien zur Gewichtsabnahme mit Fokus auf prädiktive Faktoren für individuelle Therapie-Ansprechquoten.</w:t>
      </w:r>
    </w:p>
    <w:p>
      <w:r>
        <w:rPr>
          <w:b/>
        </w:rPr>
        <w:t xml:space="preserve">Ergebnis: </w:t>
      </w:r>
      <w:r>
        <w:t>Hauptprädiktor: Typ-2-Diabetes assoziiert mit signifikant geringerem Gewichtsverlust. Geschlecht: Frauen zeigten durchschnittlich 6% größeren Gewichtsverlust als Männer. Höhere Dosis 7,2 mg überlegen 2,4 mg (Differenz 3%). Alter und Basis-BMI zeigte keine klare Assoziation außer möglicherweise in Jugend (verstärkt) und Übergewicht (vermindert). Genetische Varianten in GLP1-Rezeptor-Gen zeigte bescheidene Effekte. Phänotyp ('hungriger Darm') und Lebensstil-Modifikation unklar. Weitere Validation nötig.</w:t>
      </w:r>
    </w:p>
    <w:p>
      <w:r>
        <w:rPr>
          <w:b/>
          <w:sz w:val="19"/>
        </w:rPr>
        <w:t xml:space="preserve">Übertragbarkeit: </w:t>
      </w:r>
      <w:r>
        <w:rPr>
          <w:sz w:val="19"/>
        </w:rPr>
        <w:t>UK-Behandlungen, aber Kostenerstatung und Verfügbarkeit in Deutschland § 34 SGB V unvereinbar</w:t>
      </w:r>
    </w:p>
    <w:p>
      <w:r>
        <w:rPr>
          <w:color w:val="5A7D3A"/>
          <w:sz w:val="18"/>
        </w:rPr>
        <w:t>https://pubmed.ncbi.nlm.nih.gov/42824923/</w:t>
      </w:r>
    </w:p>
    <w:p>
      <w:pPr>
        <w:pStyle w:val="Heading2"/>
      </w:pPr>
      <w:r>
        <w:t>Kaumuskulatur größer bei höherem BMI und Bauchumfang, unterschiedlich nach Geschlecht</w:t>
      </w:r>
    </w:p>
    <w:p>
      <w:r>
        <w:rPr>
          <w:i/>
          <w:color w:val="666666"/>
          <w:sz w:val="18"/>
        </w:rPr>
        <w:t>Meisel P et al.  ·  J Oral Biosci  ·  16.09.2026  ·  PMID 42748522</w:t>
      </w:r>
    </w:p>
    <w:p>
      <w:r>
        <w:t>Deutsch-baltische Bevölkerungskohort SHIP-2 (n=665, Alter 30–93 Jahre): MRT-Querschnittsflächen der Kau- (Masseter, Pterygoideus-Muskeln) und anthropometrische Daten an Baseline und 10-Jahres-Follow-up gemessen.</w:t>
      </w:r>
    </w:p>
    <w:p>
      <w:r>
        <w:rPr>
          <w:b/>
        </w:rPr>
        <w:t xml:space="preserve">Ergebnis: </w:t>
      </w:r>
      <w:r>
        <w:t>Kaumuskelquerschnitte positiv assoziiert mit BMI und Bauchumfang. Bei Männern primär Musculus medialis pterygoideus mit Adipositas-Indikatoren assoziiert (p&lt;0,001). Masseter-Fläche in beiden Geschlechtern mit BMI und Bauchumfang verbunden, Bauchumfang attenuierte BMI-Assoziation. Zahnzahl positiv mit Muskelquerschnitten korreliert (p&lt;0,001), klinischer Attachement-Verlust nur bei Frauen negativ mit Adipositas verknüpft. 10-Jahres-BMI- und Bauchumfang-Zunahmen assoziiert mit Masseter und medialem Pterygoideus bei Männern (p&lt;0,001), nicht bei Frauen (p&gt;0,30).</w:t>
      </w:r>
    </w:p>
    <w:p>
      <w:r>
        <w:rPr>
          <w:b/>
          <w:sz w:val="19"/>
        </w:rPr>
        <w:t xml:space="preserve">Übertragbarkeit: </w:t>
      </w:r>
      <w:r>
        <w:rPr>
          <w:sz w:val="19"/>
        </w:rPr>
        <w:t>Deutsche Klinikdaten aus prospektiver Kohort, vergleichbare Bildgebungsprotokolle</w:t>
      </w:r>
    </w:p>
    <w:p>
      <w:r>
        <w:rPr>
          <w:color w:val="5A7D3A"/>
          <w:sz w:val="18"/>
        </w:rPr>
        <w:t>https://pubmed.ncbi.nlm.nih.gov/42748522/</w:t>
      </w:r>
    </w:p>
    <w:p>
      <w:pPr>
        <w:pStyle w:val="Heading1"/>
      </w:pPr>
      <w:r>
        <w:t>Aufgenommen am 03.10.2026</w:t>
      </w:r>
    </w:p>
    <w:p>
      <w:pPr>
        <w:pStyle w:val="Heading2"/>
      </w:pPr>
      <w:r>
        <w:t>Sarkopenische Adipositas assoziiert mit kognitiven Defiziten im höheren Alter</w:t>
      </w:r>
    </w:p>
    <w:p>
      <w:r>
        <w:rPr>
          <w:i/>
          <w:color w:val="666666"/>
          <w:sz w:val="18"/>
        </w:rPr>
        <w:t>Wang MC et al.  ·  J Cachexia Sarcopenia Muscle  ·  Okt. 2026  ·  PMID 42825653</w:t>
      </w:r>
    </w:p>
    <w:p>
      <w:r>
        <w:t>Prospektive taiwanesische Kohortenstudie (2015–2019) an 366 nicht-dementen Älteren (≥69 Jahre) zu sarkopenischer und dynamopener Adipositas und globaler sowie domänenspezifischer Kognition.</w:t>
      </w:r>
    </w:p>
    <w:p>
      <w:r>
        <w:rPr>
          <w:b/>
        </w:rPr>
        <w:t xml:space="preserve">Ergebnis: </w:t>
      </w:r>
      <w:r>
        <w:t>Sarkopenische Adipositas war assoziiert mit schlechterer globaler Kognition (MoCA-T: β̂=−0,96, 95%-KI −1,80 bis −0,13), Gedächtnis (β̂=−0,38, 95%-KI −0,72 bis −0,04) und Aufmerksamkeit (Trail A: β̂=−0,43, 95%-KI −0,73 bis −0,12). Dynamopene Adipositas zeigte ähnliche Assoziationen. Effekte blieben bei Frauen und APOE-ε4-Nichtträgern bestehen.</w:t>
      </w:r>
    </w:p>
    <w:p>
      <w:r>
        <w:rPr>
          <w:b/>
          <w:sz w:val="19"/>
        </w:rPr>
        <w:t xml:space="preserve">Übertragbarkeit: </w:t>
      </w:r>
      <w:r>
        <w:rPr>
          <w:sz w:val="19"/>
        </w:rPr>
        <w:t>Taiwan, prospektiv, Mechanismus könnten auf Deutschland übertragbar sein</w:t>
      </w:r>
    </w:p>
    <w:p>
      <w:r>
        <w:rPr>
          <w:color w:val="5A7D3A"/>
          <w:sz w:val="18"/>
        </w:rPr>
        <w:t>https://pubmed.ncbi.nlm.nih.gov/42825653/</w:t>
      </w:r>
    </w:p>
    <w:p>
      <w:pPr>
        <w:pStyle w:val="Heading2"/>
      </w:pPr>
      <w:r>
        <w:t>Gastric Bypass erhöht Antibiotika-Versagen bei Blasenentzündung in der Schwangerschaft</w:t>
      </w:r>
    </w:p>
    <w:p>
      <w:r>
        <w:rPr>
          <w:i/>
          <w:color w:val="666666"/>
          <w:sz w:val="18"/>
        </w:rPr>
        <w:t>Thunbo MØ et al.  ·  Basic Clin Pharmacol Toxicol  ·  Nov. 2026  ·  PMID 42825591</w:t>
      </w:r>
    </w:p>
    <w:p>
      <w:r>
        <w:t>Registerbasierte dänische Studie an 1985 Schwangerschaften nach Magenbypass und 1,4 Mio. ohne, zur Wirksamkeit von Antibiotika gegen Blasenentzündung.</w:t>
      </w:r>
    </w:p>
    <w:p>
      <w:r>
        <w:rPr>
          <w:b/>
        </w:rPr>
        <w:t xml:space="preserve">Ergebnis: </w:t>
      </w:r>
      <w:r>
        <w:t>Frauen nach Bypass zeigten 22,6% vs. 12,7% Antibiotikaeinnahme. Bei Exposition stieg das Risiko wiederholter Antibiotikaverschreibung (aOR 1,69, 95%-KI 1,22–2,30) und dokumentierter Blasenentzündung (aOR 2,22, 95%-KI 1,24–3,67). Schwere Komplikationen blieben selten. Die resorptionsbeeinträchtigte Anatomie nach Bypass gefährdet den Behandlungserfolg.</w:t>
      </w:r>
    </w:p>
    <w:p>
      <w:r>
        <w:rPr>
          <w:b/>
          <w:sz w:val="19"/>
        </w:rPr>
        <w:t xml:space="preserve">Übertragbarkeit: </w:t>
      </w:r>
      <w:r>
        <w:rPr>
          <w:sz w:val="19"/>
        </w:rPr>
        <w:t>Dänemark, vergleichbares Sozialversicherungssystem, gut übertragbar</w:t>
      </w:r>
    </w:p>
    <w:p>
      <w:r>
        <w:rPr>
          <w:color w:val="5A7D3A"/>
          <w:sz w:val="18"/>
        </w:rPr>
        <w:t>https://pubmed.ncbi.nlm.nih.gov/42825591/</w:t>
      </w:r>
    </w:p>
    <w:p>
      <w:pPr>
        <w:pStyle w:val="Heading2"/>
      </w:pPr>
      <w:r>
        <w:t>KI-gestütztes Trainingsprogramm: BMI und Körperfett bei Kindern mit Adipositas um 6–9% gesenkt</w:t>
      </w:r>
    </w:p>
    <w:p>
      <w:r>
        <w:rPr>
          <w:i/>
          <w:color w:val="666666"/>
          <w:sz w:val="18"/>
        </w:rPr>
        <w:t>Cao L et al.  ·  Front Public Health  ·  17.09.2026  ·  PMID 42824389</w:t>
      </w:r>
    </w:p>
    <w:p>
      <w:r>
        <w:t>Chinesische Pilotstudie mit 19 Kindern mit einfacher Adipositas (mittleres Alter 10,1 Jahre) zu 12-wöchigem individualisierten, KI-unterstütztem Trainingsintervention mit Coaching vor Ort.</w:t>
      </w:r>
    </w:p>
    <w:p>
      <w:r>
        <w:rPr>
          <w:b/>
        </w:rPr>
        <w:t xml:space="preserve">Ergebnis: </w:t>
      </w:r>
      <w:r>
        <w:t>BMI sank von 25,29±3,56 auf 23,64±3,60 kg/m² (p&lt;0,001, d=0,46), Körperfettmasse von 21,06±6,70 auf 17,94±6,69 kg (p&lt;0,001, d=0,47). Griffstärke, Seilspringen, Sit-ups und posturale Kontrolle verbesserten sich signifikant. Alle 19 Teilnehmer vollendeten ohne unerwünschte Ereignisse. Machbarkeit belegt, weitere RCTs geplant.</w:t>
      </w:r>
    </w:p>
    <w:p>
      <w:r>
        <w:rPr>
          <w:b/>
          <w:sz w:val="19"/>
        </w:rPr>
        <w:t xml:space="preserve">Übertragbarkeit: </w:t>
      </w:r>
      <w:r>
        <w:rPr>
          <w:sz w:val="19"/>
        </w:rPr>
        <w:t>China, Machbarkeitsstudie, Übertragbarkeit hängt von Zugang zu KI-Systemen ab</w:t>
      </w:r>
    </w:p>
    <w:p>
      <w:r>
        <w:rPr>
          <w:color w:val="5A7D3A"/>
          <w:sz w:val="18"/>
        </w:rPr>
        <w:t>https://pubmed.ncbi.nlm.nih.gov/42824389/</w:t>
      </w:r>
    </w:p>
    <w:p>
      <w:pPr>
        <w:pStyle w:val="Heading2"/>
      </w:pPr>
      <w:r>
        <w:t>Übergewicht bei Medizinstudierenden: Blutdruck erhöht, Lebensqualität aber nicht beeinträchtigt</w:t>
      </w:r>
    </w:p>
    <w:p>
      <w:r>
        <w:rPr>
          <w:i/>
          <w:color w:val="666666"/>
          <w:sz w:val="18"/>
        </w:rPr>
        <w:t>Zieleń-Zynek I et al.  ·  Front Public Health  ·  17.09.2026  ·  PMID 42824148</w:t>
      </w:r>
    </w:p>
    <w:p>
      <w:r>
        <w:t>Prospektive 2-Jahres-Kohortenstudie an 887 (Folgejahr 705) Medizinstudierenden aus Polen zu Übergewicht, Bluthochdruck und Lebensqualität mittels WHOQOL-BREF.</w:t>
      </w:r>
    </w:p>
    <w:p>
      <w:r>
        <w:rPr>
          <w:b/>
        </w:rPr>
        <w:t xml:space="preserve">Ergebnis: </w:t>
      </w:r>
      <w:r>
        <w:t>Übergewicht/Adipositas stieg von 12,9% auf 13,6%, signifikant höher bei Männern. Höchste Bluthochdruckraten bei Adipösen (p&lt;0,0001) in beiden Jahren. Gesamtlebensqualität unterschied sich nicht signifikant nach BMI-Kategorien. Finanzielle Schwierigkeiten (OR=1,67–1,91) und chronische Erkrankungen (OR=2,15–2,23) waren unabhängige Prädiktoren niedrigerer Lebensqualität, nicht das BMI selbst.</w:t>
      </w:r>
    </w:p>
    <w:p>
      <w:r>
        <w:rPr>
          <w:b/>
          <w:sz w:val="19"/>
        </w:rPr>
        <w:t xml:space="preserve">Übertragbarkeit: </w:t>
      </w:r>
      <w:r>
        <w:rPr>
          <w:sz w:val="19"/>
        </w:rPr>
        <w:t>Polen, europäisches System, vergleichbar mit deutschem Studiensetting</w:t>
      </w:r>
    </w:p>
    <w:p>
      <w:r>
        <w:rPr>
          <w:color w:val="5A7D3A"/>
          <w:sz w:val="18"/>
        </w:rPr>
        <w:t>https://pubmed.ncbi.nlm.nih.gov/42824148/</w:t>
      </w:r>
    </w:p>
    <w:p>
      <w:pPr>
        <w:pStyle w:val="Heading2"/>
      </w:pPr>
      <w:r>
        <w:t>Adipositas verschärft Asthma: 67% höhere Hospitalisierungsrate</w:t>
      </w:r>
    </w:p>
    <w:p>
      <w:r>
        <w:rPr>
          <w:i/>
          <w:color w:val="666666"/>
          <w:sz w:val="18"/>
        </w:rPr>
        <w:t>Scott HA et al.  ·  Respir Res  ·  21.08.2026  ·  PMID 42823689</w:t>
      </w:r>
    </w:p>
    <w:p>
      <w:r>
        <w:t>Australasische Schweregrad-Asthma-Registry mit 1019 Patienten (882 schwer, 137 nicht-schwer) zur Rolle von Adipositas auf Asthma-Ergebnisse und Atemwegentzündung.</w:t>
      </w:r>
    </w:p>
    <w:p>
      <w:r>
        <w:rPr>
          <w:b/>
        </w:rPr>
        <w:t xml:space="preserve">Ergebnis: </w:t>
      </w:r>
      <w:r>
        <w:t>Adipöse Patienten mit schwerem Asthma zeigten 26,2% vs. 15,7% Spitaleinweisungen im Vorjahr (p&lt;0,001), schlechtere Asthmakontrolle, reduzierte Lungenfunktion und erhöhte Sputum-Neutrophile. Geschlechtsspezifisch: Neutrophile korrelierten mit BMI bei Frauen (rs=0,370, p=0,003), nicht bei Männern (rs=0,092, p=0,495).</w:t>
      </w:r>
    </w:p>
    <w:p>
      <w:r>
        <w:rPr>
          <w:b/>
          <w:sz w:val="19"/>
        </w:rPr>
        <w:t xml:space="preserve">Übertragbarkeit: </w:t>
      </w:r>
      <w:r>
        <w:rPr>
          <w:sz w:val="19"/>
        </w:rPr>
        <w:t>Australien/Neuseeland, ähnlicher Versorgungsauftrag, teilweise übertragbar</w:t>
      </w:r>
    </w:p>
    <w:p>
      <w:r>
        <w:rPr>
          <w:color w:val="5A7D3A"/>
          <w:sz w:val="18"/>
        </w:rPr>
        <w:t>https://pubmed.ncbi.nlm.nih.gov/42823689/</w:t>
      </w:r>
    </w:p>
    <w:p>
      <w:pPr>
        <w:pStyle w:val="Heading2"/>
      </w:pPr>
      <w:r>
        <w:t>Endoskopische Gastroplastie: Nährstoffstatus nach 6 Monaten stabil, Gewichtsverlust anhaltend</w:t>
      </w:r>
    </w:p>
    <w:p>
      <w:r>
        <w:rPr>
          <w:i/>
          <w:color w:val="666666"/>
          <w:sz w:val="18"/>
        </w:rPr>
        <w:t>Lisboa AF et al.  ·  Arq Bras Cir Dig  ·  28.09.2026  ·  PMID 42820570</w:t>
      </w:r>
    </w:p>
    <w:p>
      <w:r>
        <w:t>Retrospektive brasilianische Beobachtungsstudie an 27 adipösen Patienten (88,9% Frauen, mittleres Alter 43,8 Jahre) zur Nährstoffbilanz vor und 6 Monate nach endoskopischer Gastroplastie.</w:t>
      </w:r>
    </w:p>
    <w:p>
      <w:r>
        <w:rPr>
          <w:b/>
        </w:rPr>
        <w:t xml:space="preserve">Ergebnis: </w:t>
      </w:r>
      <w:r>
        <w:t>Mittlerer BMI von 35,31±8,7 kg/m². Gesamtgewichtsverlust 10±5,7 kg, Übergewichtsverlust 41,1±28,1%. Präoperativ: Eisenmangel (n=1), B12-Mangel (n=2), Vitamin-D-Mangel (n=2), Zinkmangel (n=1), Kalziummangel (n=2), Hyperglykämie (n=4). Postoperativ keine Mangelerscheinungen, stabile Laborwerte (p&gt;0,05), anhaltender Gewichtsverlust. Kurzzeitnachbeobachtung ohne Defizitentwicklung.</w:t>
      </w:r>
    </w:p>
    <w:p>
      <w:r>
        <w:rPr>
          <w:b/>
          <w:sz w:val="19"/>
        </w:rPr>
        <w:t xml:space="preserve">Übertragbarkeit: </w:t>
      </w:r>
      <w:r>
        <w:rPr>
          <w:sz w:val="19"/>
        </w:rPr>
        <w:t>Brasilien, Endoskopie übertragbar, aber kleine Fallzahl und 6-Monats-Horizont limitiert</w:t>
      </w:r>
    </w:p>
    <w:p>
      <w:r>
        <w:rPr>
          <w:color w:val="5A7D3A"/>
          <w:sz w:val="18"/>
        </w:rPr>
        <w:t>https://pubmed.ncbi.nlm.nih.gov/42820570/</w:t>
      </w:r>
    </w:p>
    <w:p>
      <w:pPr>
        <w:pStyle w:val="Heading1"/>
      </w:pPr>
      <w:r>
        <w:t>Aufgenommen am 02.10.2026</w:t>
      </w:r>
    </w:p>
    <w:p>
      <w:pPr>
        <w:pStyle w:val="Heading2"/>
      </w:pPr>
      <w:r>
        <w:t>Tirzepatid in europäischer Pharmakovigilanz: höhere Off-label-Nutzung, geringere Ineffektivitätsmeldungen</w:t>
      </w:r>
    </w:p>
    <w:p>
      <w:r>
        <w:rPr>
          <w:i/>
          <w:color w:val="666666"/>
          <w:sz w:val="18"/>
        </w:rPr>
        <w:t>Popa Ilie IR et al.  ·  BMJ Open  ·  01.10.2026  ·  PMID 42823110</w:t>
      </w:r>
    </w:p>
    <w:p>
      <w:r>
        <w:t>Retrospektive Pharmakovigilanz-Analyse des EudraVigilance-Systems verglich Adverse-Event-Meldungen zu Tirzepatid mit anderen GLP-1-Rezeptor-Agonisten.</w:t>
      </w:r>
    </w:p>
    <w:p>
      <w:r>
        <w:rPr>
          <w:b/>
        </w:rPr>
        <w:t xml:space="preserve">Ergebnis: </w:t>
      </w:r>
      <w:r>
        <w:t>Tirzepatid zeigte niedrigere Meldequoten für 'Drug ineffective' vs. Liraglutid (ROR 0,61 [95%-CI: 0,54–0,70]), Dulaglutid (0,72 [0,63–0,82]) und Semaglutid (0,81 [0,72–0,91]). Höhere Meldequoten für 'Off-label use' vs. Liraglutid, aber niedrigere vs. Semaglutid (ROR 0,52 [95%-CI: 0,49–0,55]). Befunde ergänzen Zulassungsstudien durch Real-World-Sicherheitssignale.</w:t>
      </w:r>
    </w:p>
    <w:p>
      <w:r>
        <w:rPr>
          <w:b/>
          <w:sz w:val="19"/>
        </w:rPr>
        <w:t xml:space="preserve">Übertragbarkeit: </w:t>
      </w:r>
      <w:r>
        <w:rPr>
          <w:sz w:val="19"/>
        </w:rPr>
        <w:t>Europa, EudraVigilance-System erfasst EU-Meldungen, Erstattung unterschiedlich nach Land</w:t>
      </w:r>
    </w:p>
    <w:p>
      <w:r>
        <w:rPr>
          <w:color w:val="5A7D3A"/>
          <w:sz w:val="18"/>
        </w:rPr>
        <w:t>https://pubmed.ncbi.nlm.nih.gov/42823110/</w:t>
      </w:r>
    </w:p>
    <w:p>
      <w:pPr>
        <w:pStyle w:val="Heading2"/>
      </w:pPr>
      <w:r>
        <w:t>Child Eating Behaviour Questionnaire: vereinfachte Scores prognostizieren Adipositasrisiko besser als Einzeldomänen</w:t>
      </w:r>
    </w:p>
    <w:p>
      <w:r>
        <w:rPr>
          <w:i/>
          <w:color w:val="666666"/>
          <w:sz w:val="18"/>
        </w:rPr>
        <w:t>Renier TJ et al.  ·  Pediatr Obes  ·  Okt. 2026  ·  PMID 42808752</w:t>
      </w:r>
    </w:p>
    <w:p>
      <w:r>
        <w:t>Querschnittsstudie (n=354 Kinder, 9–12 Jahre) entwickelte datengesteuerte Composite-Scores aus Child Eating Behaviour Questionnaire-Items zur Vorhersage des BMI und genetischen Adipositasrisikos.</w:t>
      </w:r>
    </w:p>
    <w:p>
      <w:r>
        <w:rPr>
          <w:b/>
        </w:rPr>
        <w:t xml:space="preserve">Ergebnis: </w:t>
      </w:r>
      <w:r>
        <w:t>Drei Composite-Scores (4–18 Items) stärker mit BMI-z-Score korreliert (r 0,38–0,42; p&lt;0,001) als Einzeldomänen-Scores und signifikant mit beiden Polygenic-Risk-Scores assoziiert. Composite-Scores mit Ladevektoren ≥|0,50| oder ≥|0,70| zeigten Korrelationen r=0,77–0,97 untereinander. Vereinfachte Erfassung appetitiver Traits zur Adipositasrisikostratifizierung möglich.</w:t>
      </w:r>
    </w:p>
    <w:p>
      <w:r>
        <w:rPr>
          <w:b/>
          <w:sz w:val="19"/>
        </w:rPr>
        <w:t xml:space="preserve">Übertragbarkeit: </w:t>
      </w:r>
      <w:r>
        <w:rPr>
          <w:sz w:val="19"/>
        </w:rPr>
        <w:t>UK-Zwillingskohortendaten, Ernährungsverhalten kulturübergreifend relevant</w:t>
      </w:r>
    </w:p>
    <w:p>
      <w:r>
        <w:rPr>
          <w:color w:val="5A7D3A"/>
          <w:sz w:val="18"/>
        </w:rPr>
        <w:t>https://pubmed.ncbi.nlm.nih.gov/42808752/</w:t>
      </w:r>
    </w:p>
    <w:p>
      <w:pPr>
        <w:pStyle w:val="Heading2"/>
      </w:pPr>
      <w:r>
        <w:t>Tirzepatid versus Semaglutid: Kosteneffizienz bei strengen Therapiezielen in der Versorgungswirklichkeit</w:t>
      </w:r>
    </w:p>
    <w:p>
      <w:r>
        <w:rPr>
          <w:i/>
          <w:color w:val="666666"/>
          <w:sz w:val="18"/>
        </w:rPr>
        <w:t>Hoog MM et al.  ·  J Manag Care Spec Pharm  ·  Okt. 2026  ·  PMID 42808550</w:t>
      </w:r>
    </w:p>
    <w:p>
      <w:r>
        <w:t>US-amerikanische Kohortenstudie (n=10.702 naive, n=5.577 nicht-naive GLP-1-Patienten) verglich Therapietreue, Gewichtsverlust und Kosten pro erreichtem Ziel über 12 Monate.</w:t>
      </w:r>
    </w:p>
    <w:p>
      <w:r>
        <w:rPr>
          <w:b/>
        </w:rPr>
        <w:t xml:space="preserve">Ergebnis: </w:t>
      </w:r>
      <w:r>
        <w:t>Tirzepatid-Nutzer zeigten höhere Adhärenz (naiv: 60% vs. 45%), Persistenz (naiv: 62% vs. 47%) und erreichten strengere Ziele häufiger: A1c&lt;5,7% (naiv 30% vs. 18%), Gewichtsabnahme ≥15% (naiv 23% vs. 10%). Tirzepatid mit niedrigeren Kosten pro Responder für stringente Endpunkte: A1c&lt;5,7% (naiv $45.300 vs. $65.300), Gewichtsabnahme ≥15% (naiv $62.900 vs. $124.400).</w:t>
      </w:r>
    </w:p>
    <w:p>
      <w:r>
        <w:rPr>
          <w:b/>
          <w:sz w:val="19"/>
        </w:rPr>
        <w:t xml:space="preserve">Übertragbarkeit: </w:t>
      </w:r>
      <w:r>
        <w:rPr>
          <w:sz w:val="19"/>
        </w:rPr>
        <w:t>USA-Daten, aber Versicherungskontext grundlegend anders als Deutschland (§34 SGB V)</w:t>
      </w:r>
    </w:p>
    <w:p>
      <w:r>
        <w:rPr>
          <w:color w:val="5A7D3A"/>
          <w:sz w:val="18"/>
        </w:rPr>
        <w:t>https://pubmed.ncbi.nlm.nih.gov/42808550/</w:t>
      </w:r>
    </w:p>
    <w:p>
      <w:pPr>
        <w:pStyle w:val="Heading2"/>
      </w:pPr>
      <w:r>
        <w:t>Massive Gewichtsabnahme nach Adipositaschirurgie: psychosoziale Komplexität bei Brustrekonstruktion</w:t>
      </w:r>
    </w:p>
    <w:p>
      <w:r>
        <w:rPr>
          <w:i/>
          <w:color w:val="666666"/>
          <w:sz w:val="18"/>
        </w:rPr>
        <w:t>Paganini A et al.  ·  Clin Breast Cancer  ·  07.09.2026  ·  PMID 42790227</w:t>
      </w:r>
    </w:p>
    <w:p>
      <w:r>
        <w:t>Schwedische populationsbasierte Fall-Kontroll-Studie (n=81 mit massiver Gewichtsabnahme, n=993 Kontrollen) untersuchte Unterschiede zwischen Frauen mit und ohne vorherige Adipositaschirurgie vor Brustrekonstruktion.</w:t>
      </w:r>
    </w:p>
    <w:p>
      <w:r>
        <w:rPr>
          <w:b/>
        </w:rPr>
        <w:t xml:space="preserve">Ergebnis: </w:t>
      </w:r>
      <w:r>
        <w:t>Frauen mit massiver Gewichtsabnahme (mittl. 30,6 kg vor Rekonstruktion) häufiger geschieden/getrennt, mit höherer Prävalenz psychiatrischer, kardiovaskulärer und rheumatischer Erkrankungen (&gt;2× häufiger, nach Bonferroni-Korrektur nicht alle signifikant). Vitamin-, Mineral- und Anämie-Medikamentenutzung signifikant erhöht. Erkannte Unterschiede unterstützen perioperatives Management.</w:t>
      </w:r>
    </w:p>
    <w:p>
      <w:r>
        <w:rPr>
          <w:b/>
          <w:sz w:val="19"/>
        </w:rPr>
        <w:t xml:space="preserve">Übertragbarkeit: </w:t>
      </w:r>
      <w:r>
        <w:rPr>
          <w:sz w:val="19"/>
        </w:rPr>
        <w:t>Schweden, skandinavisches Versicherungssystem, landesweit registrierte Fälle</w:t>
      </w:r>
    </w:p>
    <w:p>
      <w:r>
        <w:rPr>
          <w:color w:val="5A7D3A"/>
          <w:sz w:val="18"/>
        </w:rPr>
        <w:t>https://pubmed.ncbi.nlm.nih.gov/42790227/</w:t>
      </w:r>
    </w:p>
    <w:p>
      <w:pPr>
        <w:pStyle w:val="Heading2"/>
      </w:pPr>
      <w:r>
        <w:t>Pankreatisches Fett und Gewichtsverlust: MRT-Messmethode zeigt signifikante Reduktion nach Lebensstiländerung</w:t>
      </w:r>
    </w:p>
    <w:p>
      <w:r>
        <w:rPr>
          <w:i/>
          <w:color w:val="666666"/>
          <w:sz w:val="18"/>
        </w:rPr>
        <w:t>Braun P et al.  ·  NMR Biomed  ·  Nov. 2026  ·  PMID 42788241</w:t>
      </w:r>
    </w:p>
    <w:p>
      <w:r>
        <w:t>Deutsche Interventionsstudie LION (n=18) evaluierte MRT-Sequenzierungsmethode zur Quantifizierung pankreatischen Fetts bei Adipositaspatienten während Lebensstiländerung.</w:t>
      </w:r>
    </w:p>
    <w:p>
      <w:r>
        <w:rPr>
          <w:b/>
        </w:rPr>
        <w:t xml:space="preserve">Ergebnis: </w:t>
      </w:r>
      <w:r>
        <w:t>Pancreatic PDFF (Fettfraktionsanteil) sank signifikant um 2,3±2,1% (Cartesian p&lt;0,001, Radial p&lt;0,01), Pankreasvolumen um 8,4±7,7 cm³ (beide p&lt;0,001). Exzellente Übereinstimmung zwischen Radial- und Cartesian-Sequenzen (PDFF: ICC=0,98). Neue free-breathing Sequenz ermöglicht Fettwertmessungen ohne Atemhaltemanöver.</w:t>
      </w:r>
    </w:p>
    <w:p>
      <w:r>
        <w:rPr>
          <w:b/>
          <w:sz w:val="19"/>
        </w:rPr>
        <w:t xml:space="preserve">Übertragbarkeit: </w:t>
      </w:r>
      <w:r>
        <w:rPr>
          <w:sz w:val="19"/>
        </w:rPr>
        <w:t>Deutschland, TU München-Klinikdaten, Interventionsparameter europäisch vergleichbar</w:t>
      </w:r>
    </w:p>
    <w:p>
      <w:r>
        <w:rPr>
          <w:color w:val="5A7D3A"/>
          <w:sz w:val="18"/>
        </w:rPr>
        <w:t>https://pubmed.ncbi.nlm.nih.gov/42788241/</w:t>
      </w:r>
    </w:p>
    <w:p>
      <w:pPr>
        <w:pStyle w:val="Heading2"/>
      </w:pPr>
      <w:r>
        <w:t>Stilldauer und Adipositas-assoziierte Krebsrisiken bei Müttern: 60 Jahre Nachbeobachtung ohne Schutzeffekt</w:t>
      </w:r>
    </w:p>
    <w:p>
      <w:r>
        <w:rPr>
          <w:i/>
          <w:color w:val="666666"/>
          <w:sz w:val="18"/>
        </w:rPr>
        <w:t>Christensen SH et al.  ·  Matern Child Nutr  ·  Juli 2026  ·  PMID 42775711</w:t>
      </w:r>
    </w:p>
    <w:p>
      <w:r>
        <w:t>Dänische Geburtskohortenstudie (n=6.880) untersuchte, ob Stilldauer mit reduziertem Risiko für Adipositas-assoziierte Krebserkrankungen bei Müttern verbunden ist.</w:t>
      </w:r>
    </w:p>
    <w:p>
      <w:r>
        <w:rPr>
          <w:b/>
        </w:rPr>
        <w:t xml:space="preserve">Ergebnis: </w:t>
      </w:r>
      <w:r>
        <w:t>Weder Dauer des ausschließlichen noch irgendeines Stillens zeigte Assoziation mit Adipositas-assoziierten Krebserkrankungen (HR=1,00 [95%-CI: 0,96–1,03] pro Monat), Endometrium-, Ovarial- oder postmenopausalen Brustkrebs über 54 Jahre. Prospektive Studien mit längeren und variablen Stilldauern erforderlich.</w:t>
      </w:r>
    </w:p>
    <w:p>
      <w:r>
        <w:rPr>
          <w:b/>
          <w:sz w:val="19"/>
        </w:rPr>
        <w:t xml:space="preserve">Übertragbarkeit: </w:t>
      </w:r>
      <w:r>
        <w:rPr>
          <w:sz w:val="19"/>
        </w:rPr>
        <w:t>Dänemarks Registerdaten, vergleichbares europäisches Versorgungssystem</w:t>
      </w:r>
    </w:p>
    <w:p>
      <w:r>
        <w:rPr>
          <w:color w:val="5A7D3A"/>
          <w:sz w:val="18"/>
        </w:rPr>
        <w:t>https://pubmed.ncbi.nlm.nih.gov/42775711/</w:t>
      </w:r>
    </w:p>
    <w:p>
      <w:pPr>
        <w:pStyle w:val="Heading2"/>
      </w:pPr>
      <w:r>
        <w:t>Sonneneinstrahlung und Schlaf: Geschlechtsspezifische Assoziationen mit Adipositas bei portugiesischen Kindern</w:t>
      </w:r>
    </w:p>
    <w:p>
      <w:r>
        <w:rPr>
          <w:i/>
          <w:color w:val="666666"/>
          <w:sz w:val="18"/>
        </w:rPr>
        <w:t>Dos Santos EA et al.  ·  Am J Hum Biol  ·  Sept. 2026  ·  PMID 42764707</w:t>
      </w:r>
    </w:p>
    <w:p>
      <w:r>
        <w:t>Portugiesische Querschnittsstudie (n=4.755, Alter 3–10 Jahre) untersuchte Zusammenhänge zwischen Sonneneinstrahlung, Schlafverhalten und Adipositasindikatoren.</w:t>
      </w:r>
    </w:p>
    <w:p>
      <w:r>
        <w:rPr>
          <w:b/>
        </w:rPr>
        <w:t xml:space="preserve">Ergebnis: </w:t>
      </w:r>
      <w:r>
        <w:t>Sonneneinstrahlung zeigte geschlechtsspezifische, bescheidene Assoziationen mit Schlafverhalten. Bei Jungen sonntags negative Assoziation (β=–4,57; 95%-CI: –8,22 bis –0,91; p=0,014), bei Mädchen im vollständig adjustierten Modell keine signifikanten Assoziationen. Umwelt- und Verhaltensfaktoren relevant für Adipositäsprävention.</w:t>
      </w:r>
    </w:p>
    <w:p>
      <w:r>
        <w:rPr>
          <w:b/>
          <w:sz w:val="19"/>
        </w:rPr>
        <w:t xml:space="preserve">Übertragbarkeit: </w:t>
      </w:r>
      <w:r>
        <w:rPr>
          <w:sz w:val="19"/>
        </w:rPr>
        <w:t>Portugal, europäisches Primärversorgungssystem, Public-Health-Erhebung</w:t>
      </w:r>
    </w:p>
    <w:p>
      <w:r>
        <w:rPr>
          <w:color w:val="5A7D3A"/>
          <w:sz w:val="18"/>
        </w:rPr>
        <w:t>https://pubmed.ncbi.nlm.nih.gov/42764707/</w:t>
      </w:r>
    </w:p>
    <w:p>
      <w:pPr>
        <w:pStyle w:val="Heading1"/>
      </w:pPr>
      <w:r>
        <w:t>Aufgenommen am 01.10.2026</w:t>
      </w:r>
    </w:p>
    <w:p>
      <w:pPr>
        <w:pStyle w:val="Heading2"/>
      </w:pPr>
      <w:r>
        <w:t>Übergewichtsverlauf in der Kindheit und Asthmainzidenz: Prospektive japanische Geburtskohortenstudie</w:t>
      </w:r>
    </w:p>
    <w:p>
      <w:r>
        <w:rPr>
          <w:i/>
          <w:color w:val="666666"/>
          <w:sz w:val="18"/>
        </w:rPr>
        <w:t>Akaike S et al.  ·  Environ Health Prev Med  ·  2026  ·  PMID 42816370</w:t>
      </w:r>
    </w:p>
    <w:p>
      <w:r>
        <w:t>Prospektive Kohortenstudie mit 11.433 Eltern-Kind-Paaren aus Japan zum Zusammenhang zwischen BMI-Standardabweichungsverlauf in den ersten Lebensjahren und Asthmaentwicklung im Alter von 3–4 Jahren.</w:t>
      </w:r>
    </w:p>
    <w:p>
      <w:r>
        <w:rPr>
          <w:b/>
        </w:rPr>
        <w:t xml:space="preserve">Ergebnis: </w:t>
      </w:r>
      <w:r>
        <w:t>Kinder mit durchgehend erhöhtem BMI-Verlauf hatten höheres Asthmarisiko als Kinder mit Normalgewichtsverlauf (adjustierte OR 1,31; 95%-KI 1,11–1,55; p = 0,001 im Alter 3 Jahre). Der Zusammenhang war bei Jungen stärker ausgeprägt (aOR 1,39; 95%-KI 1,12–1,73) als bei Mädchen (aOR 1,24; nicht signifikant). Im Alter 4 Jahren blieb die Assoziation bestehen.</w:t>
      </w:r>
    </w:p>
    <w:p>
      <w:r>
        <w:rPr>
          <w:b/>
          <w:sz w:val="19"/>
        </w:rPr>
        <w:t xml:space="preserve">Übertragbarkeit: </w:t>
      </w:r>
      <w:r>
        <w:rPr>
          <w:sz w:val="19"/>
        </w:rPr>
        <w:t>Japan - Transfer auf Deutschland fraglich wegen unterschiedlicher Adipositasprävalenz und Gesundheitssystemstruktur</w:t>
      </w:r>
    </w:p>
    <w:p>
      <w:r>
        <w:rPr>
          <w:color w:val="5A7D3A"/>
          <w:sz w:val="18"/>
        </w:rPr>
        <w:t>https://pubmed.ncbi.nlm.nih.gov/42816370/</w:t>
      </w:r>
    </w:p>
    <w:p>
      <w:pPr>
        <w:pStyle w:val="Heading2"/>
      </w:pPr>
      <w:r>
        <w:t>Jugendliches Übergewicht in Afrika: Sicht der Adoleszenten auf Einflüsse von Kultur, Peers und Medien</w:t>
      </w:r>
    </w:p>
    <w:p>
      <w:r>
        <w:rPr>
          <w:i/>
          <w:color w:val="666666"/>
          <w:sz w:val="18"/>
        </w:rPr>
        <w:t>Osei Bonsu E et al.  ·  Curr Obes Rep  ·  30.09.2026  ·  PMID 42814247</w:t>
      </w:r>
    </w:p>
    <w:p>
      <w:r>
        <w:t>Systematische qualitative Scoping Review zu Wahrnehmungen von 17 Studien aus 8 afrikanischen Ländern darüber, wie Kultur, Peers, Familie und Medien das Körpergewicht und Stigmatisierung bei Jugendlichen beeinflussen.</w:t>
      </w:r>
    </w:p>
    <w:p>
      <w:r>
        <w:rPr>
          <w:b/>
        </w:rPr>
        <w:t xml:space="preserve">Ergebnis: </w:t>
      </w:r>
      <w:r>
        <w:t>Adoleszenten nannten Peers und Eltern/Familie als wichtige Einflussfaktoren für ungesunde Lebensmittelwahl und körperliche Aktivität; Medien prägte Körperbild-Wahrnehmungen. In mehreren Studien wurde Übergewicht mit Wohlstand und Gesundheit assoziiert, Untergewicht mit Krankheit. Weight Bias wurde unabhängig vom Gewichtsstatus berichtet.</w:t>
      </w:r>
    </w:p>
    <w:p>
      <w:r>
        <w:rPr>
          <w:b/>
          <w:sz w:val="19"/>
        </w:rPr>
        <w:t xml:space="preserve">Übertragbarkeit: </w:t>
      </w:r>
      <w:r>
        <w:rPr>
          <w:sz w:val="19"/>
        </w:rPr>
        <w:t>Subsahara-Afrika – begrenzte Übertragbarkeit auf Deutschland, aber relevant für Stigma-Programmgestaltung</w:t>
      </w:r>
    </w:p>
    <w:p>
      <w:r>
        <w:rPr>
          <w:color w:val="5A7D3A"/>
          <w:sz w:val="18"/>
        </w:rPr>
        <w:t>https://pubmed.ncbi.nlm.nih.gov/42814247/</w:t>
      </w:r>
    </w:p>
    <w:p>
      <w:pPr>
        <w:pStyle w:val="Heading2"/>
      </w:pPr>
      <w:r>
        <w:t>Facharztüberweisungspraxis zu Lebensstiländerungen: Barrieren und Förderer in der niederländischen Grundversorgung</w:t>
      </w:r>
    </w:p>
    <w:p>
      <w:r>
        <w:rPr>
          <w:i/>
          <w:color w:val="666666"/>
          <w:sz w:val="18"/>
        </w:rPr>
        <w:t>van Aken B et al.  ·  Prim Health Care Res Dev  ·  30.09.2026  ·  PMID 42813322</w:t>
      </w:r>
    </w:p>
    <w:p>
      <w:r>
        <w:t>Qualitative Studie mit 16 niederländischen Hausärzten zu Faktoren, die ihre Überweisungen an kombinierte Lebensstilinterventionen (Ernährung, Bewegung, Verhalten) bei Übergewicht und Adipositas beeinflussen.</w:t>
      </w:r>
    </w:p>
    <w:p>
      <w:r>
        <w:rPr>
          <w:b/>
        </w:rPr>
        <w:t xml:space="preserve">Ergebnis: </w:t>
      </w:r>
      <w:r>
        <w:t>Identifiziert wurden drei Überweisungsmuster: umfassend, kritisch und begrenzt. Fördernde Faktoren waren Ärzte-Bewusstsein für Programme, Wissen über Wirksamkeit, Selbstvertrauen und einfache Referenzsysteme. Barrieren waren Zweifel an Effektivität, Gewohnheiten, Identitätszweifel, mangelnde Zusammenarbeit mit Anbietern und unmotivierte Patienten.</w:t>
      </w:r>
    </w:p>
    <w:p>
      <w:r>
        <w:rPr>
          <w:b/>
          <w:sz w:val="19"/>
        </w:rPr>
        <w:t xml:space="preserve">Übertragbarkeit: </w:t>
      </w:r>
      <w:r>
        <w:rPr>
          <w:sz w:val="19"/>
        </w:rPr>
        <w:t>Niederlande, vergleichbares Versicherungssystem und strukturierte Programme wie in Deutschland</w:t>
      </w:r>
    </w:p>
    <w:p>
      <w:r>
        <w:rPr>
          <w:color w:val="5A7D3A"/>
          <w:sz w:val="18"/>
        </w:rPr>
        <w:t>https://pubmed.ncbi.nlm.nih.gov/42813322/</w:t>
      </w:r>
    </w:p>
    <w:p>
      <w:pPr>
        <w:pStyle w:val="Heading2"/>
      </w:pPr>
      <w:r>
        <w:t>Prägravidärer BMI und postpartale Stoffwechselgesundheit: UAE-Kohortenstudie</w:t>
      </w:r>
    </w:p>
    <w:p>
      <w:r>
        <w:rPr>
          <w:i/>
          <w:color w:val="666666"/>
          <w:sz w:val="18"/>
        </w:rPr>
        <w:t>Alameddine M et al.  ·  Womens Health (Lond)  ·  30.09.2026  ·  PMID 42813240</w:t>
      </w:r>
    </w:p>
    <w:p>
      <w:r>
        <w:t>Prospektive Kohortenstudie mit 256 Schwangeren in den VAE vom dritten Trimenon bis 6 Monate postpartal zum Zusammenhang von prägravidärem BMI, Schwangerschaftsgewichtszunahme und postpartaler Gewichtsretention mit Stoffwechselbiomarkern.</w:t>
      </w:r>
    </w:p>
    <w:p>
      <w:r>
        <w:rPr>
          <w:b/>
        </w:rPr>
        <w:t xml:space="preserve">Ergebnis: </w:t>
      </w:r>
      <w:r>
        <w:t>59,4% waren prägravidär übergewichtig/adipös und zeigten erhöhte Insulinlevel (OR 3,91; 95%-KI 1,36–11,24), erhöhte IL-6 (OR 5,11), CRP (OR 5,34), LDL (OR 2,89) und Gesamtcholesterin (OR 3,05). Unter Frauen mit erhöhtem prägravidärem BMI betrug die Odds für ≥3 Stoffwechselabweichungen 3,44 (95%-KI 1,36–8,68). Schwangerschaftsgewichtszunahme war nur mit TNF-α assoziiert, postpartale Retention mit Blutglukose.</w:t>
      </w:r>
    </w:p>
    <w:p>
      <w:r>
        <w:rPr>
          <w:b/>
          <w:sz w:val="19"/>
        </w:rPr>
        <w:t xml:space="preserve">Übertragbarkeit: </w:t>
      </w:r>
      <w:r>
        <w:rPr>
          <w:sz w:val="19"/>
        </w:rPr>
        <w:t>VAE, Mittlerer Osten – begrenzte Übertragbarkeit auf Deutschland wegen Bevölkerungsstruktur und sozialmedizinischer Unterschiede</w:t>
      </w:r>
    </w:p>
    <w:p>
      <w:r>
        <w:rPr>
          <w:color w:val="5A7D3A"/>
          <w:sz w:val="18"/>
        </w:rPr>
        <w:t>https://pubmed.ncbi.nlm.nih.gov/42813240/</w:t>
      </w:r>
    </w:p>
    <w:p>
      <w:pPr>
        <w:pStyle w:val="Heading2"/>
      </w:pPr>
      <w:r>
        <w:t>Prägravidärer BMI und Gewichtszunahme in der Schwangerschaft prägen Neugeborenengewicht</w:t>
      </w:r>
    </w:p>
    <w:p>
      <w:r>
        <w:rPr>
          <w:i/>
          <w:color w:val="666666"/>
          <w:sz w:val="18"/>
        </w:rPr>
        <w:t>Kiridana MGDVK et al.  ·  BMC Public Health  ·  06.08.2026  ·  PMID 42811316</w:t>
      </w:r>
    </w:p>
    <w:p>
      <w:r>
        <w:t>Prospektive Kohortenstudie mit 1.537 Schwangeren in Sri Lanka zum Einfluss von Prägravidität-BMI und Gewichtszunahme in der Schwangerschaft auf Geburtsgewicht von Neugeborenen nach Termin.</w:t>
      </w:r>
    </w:p>
    <w:p>
      <w:r>
        <w:rPr>
          <w:b/>
        </w:rPr>
        <w:t xml:space="preserve">Ergebnis: </w:t>
      </w:r>
      <w:r>
        <w:t>54,8% der Frauen hatten prägravidär erhöhtes BMI, 13,8% Untergewicht. 14,8% der Neugeborenen wiesen niedriges, 6,1% hohes Geburtsgewicht auf. Untergewicht-Mütter hatten erhöhtes Risiko für niedriges Geburtsgewicht (aOR 1,989; 95%-KI 1,184–3,340); übergewichtige Mütter für hohes Geburtsgewicht (aOR 2,147; 95%-KI 1,127–4,091). Beide Maße (prägravidärer BMI β = 17,44; Gewichtszunahme β = 14,424) sagten Geburtsgewicht linear voraus.</w:t>
      </w:r>
    </w:p>
    <w:p>
      <w:r>
        <w:rPr>
          <w:b/>
          <w:sz w:val="19"/>
        </w:rPr>
        <w:t xml:space="preserve">Übertragbarkeit: </w:t>
      </w:r>
      <w:r>
        <w:rPr>
          <w:sz w:val="19"/>
        </w:rPr>
        <w:t>Sri Lanka, Südasien – nur mütterliche Prävention übertragbar, nicht Folgezustände bei Mutter</w:t>
      </w:r>
    </w:p>
    <w:p>
      <w:r>
        <w:rPr>
          <w:color w:val="5A7D3A"/>
          <w:sz w:val="18"/>
        </w:rPr>
        <w:t>https://pubmed.ncbi.nlm.nih.gov/42811316/</w:t>
      </w:r>
    </w:p>
    <w:p>
      <w:pPr>
        <w:pStyle w:val="Heading2"/>
      </w:pPr>
      <w:r>
        <w:t>BMI differenziert metabolisches Risiko bei PCOS besser als Rotterdam-Kriterien</w:t>
      </w:r>
    </w:p>
    <w:p>
      <w:r>
        <w:rPr>
          <w:i/>
          <w:color w:val="666666"/>
          <w:sz w:val="18"/>
        </w:rPr>
        <w:t>Gambineri A et al.  ·  J Endocrinol Invest  ·  28.08.2026  ·  PMID 42663864</w:t>
      </w:r>
    </w:p>
    <w:p>
      <w:r>
        <w:t>Multizenter-Registry-Studie mit 1.314 Frauen mit Polyzystischem Ovarialsyndrom (PCOS) aus Italien zum Vergleich zwischen Rotterdam-Phänotypisierung und BMI-basierter Stratifizierung bei der Vorhersage metabolischer Komplikationen.</w:t>
      </w:r>
    </w:p>
    <w:p>
      <w:r>
        <w:rPr>
          <w:b/>
        </w:rPr>
        <w:t xml:space="preserve">Ergebnis: </w:t>
      </w:r>
      <w:r>
        <w:t>Rotterdam-Phänotypen zeigten keine signifikanten Unterschiede in BMI oder Stoffwechselkomplikationen (Dyslipidämie, Glukose-Intoleranz, Hypertension, metabolisches Syndrom), obwohl Angststörungen in Phänotyp A erhöht waren. Im Gegensatz dazu offenbarte BMI-Stratifizierung klare metabolische Unterschiede: Frauen mit Adipositas oder BMI ≥27 kg/m² zeigten höhere Prävalenz aller metabolischen Komplikationen sowie höhere freien Androgen-Index und Hirsutismus-Werte.</w:t>
      </w:r>
    </w:p>
    <w:p>
      <w:r>
        <w:rPr>
          <w:b/>
          <w:sz w:val="19"/>
        </w:rPr>
        <w:t xml:space="preserve">Übertragbarkeit: </w:t>
      </w:r>
      <w:r>
        <w:rPr>
          <w:sz w:val="19"/>
        </w:rPr>
        <w:t>Italien, vergleichbare europäische Struktur und sozialversichertes System</w:t>
      </w:r>
    </w:p>
    <w:p>
      <w:r>
        <w:rPr>
          <w:color w:val="5A7D3A"/>
          <w:sz w:val="18"/>
        </w:rPr>
        <w:t>https://pubmed.ncbi.nlm.nih.gov/42663864/</w:t>
      </w:r>
    </w:p>
    <w:p>
      <w:pPr>
        <w:pStyle w:val="Heading1"/>
      </w:pPr>
      <w:r>
        <w:t>Aufgenommen am 30.09.2026</w:t>
      </w:r>
    </w:p>
    <w:p>
      <w:pPr>
        <w:pStyle w:val="Heading2"/>
      </w:pPr>
      <w:r>
        <w:t>Mobile-App-gestützte Nachsorge erhöhte Therapietreue und Gewichtsabnahme um fünffach</w:t>
      </w:r>
    </w:p>
    <w:p>
      <w:r>
        <w:rPr>
          <w:i/>
          <w:color w:val="666666"/>
          <w:sz w:val="18"/>
        </w:rPr>
        <w:t>Villafañe H et al.  ·  Rev Fac Cien Med Univ Nac Cordoba  ·  01.09.2026  ·  PMID 42809870</w:t>
      </w:r>
    </w:p>
    <w:p>
      <w:r>
        <w:t>Randomisierte Studie bei 53 erwachsenen Patienten mit Übergewicht oder Adipositas, die drei Monate lang entweder konventionelle Nachsorge (alle zwei Wochen präsent) oder ein Hybrid-Modell (monatlich präsent plus asynchrone App-gestützte Begleitung) erhielten.</w:t>
      </w:r>
    </w:p>
    <w:p>
      <w:r>
        <w:rPr>
          <w:b/>
        </w:rPr>
        <w:t xml:space="preserve">Ergebnis: </w:t>
      </w:r>
      <w:r>
        <w:t>Die App-Gruppe zeigte 39% vs. 16% Therapietreue (p=0,03), 4,85fach höhere Wahrscheinlichkeit für Weitermachen und signifikante Reduktion von Gewicht, BMI, Kalorien, Kohlenhydraten und Fetten (nur in dieser Gruppe statistisch signifikant).</w:t>
      </w:r>
    </w:p>
    <w:p>
      <w:r>
        <w:rPr>
          <w:b/>
          <w:sz w:val="19"/>
        </w:rPr>
        <w:t xml:space="preserve">Übertragbarkeit: </w:t>
      </w:r>
      <w:r>
        <w:rPr>
          <w:sz w:val="19"/>
        </w:rPr>
        <w:t>Argentinische Primärversorgung, Modell auf deutschsprachige Praxen übertragbar</w:t>
      </w:r>
    </w:p>
    <w:p>
      <w:r>
        <w:rPr>
          <w:color w:val="5A7D3A"/>
          <w:sz w:val="18"/>
        </w:rPr>
        <w:t>https://pubmed.ncbi.nlm.nih.gov/42809870/</w:t>
      </w:r>
    </w:p>
    <w:p>
      <w:pPr>
        <w:pStyle w:val="Heading2"/>
      </w:pPr>
      <w:r>
        <w:t>Kardiometabolische Last bei informellen Arbeitern: hohe Prävalenz, geschlechts- und altersabhängig</w:t>
      </w:r>
    </w:p>
    <w:p>
      <w:r>
        <w:rPr>
          <w:i/>
          <w:color w:val="666666"/>
          <w:sz w:val="18"/>
        </w:rPr>
        <w:t>Hormenu T et al.  ·  PLoS One  ·  29.09.2026  ·  PMID 42809582</w:t>
      </w:r>
    </w:p>
    <w:p>
      <w:r>
        <w:t>Querschnittsstudie mit 948 informellen Arbeitern (Händler, Fischer, Handwerker, Bauern, Fahrer) in Ghana zur Prävalenz von Adipositas, Hypertonie, Prä-/Diabetes und assoziierten Faktoren.</w:t>
      </w:r>
    </w:p>
    <w:p>
      <w:r>
        <w:rPr>
          <w:b/>
        </w:rPr>
        <w:t xml:space="preserve">Ergebnis: </w:t>
      </w:r>
      <w:r>
        <w:t>Adipositas 45,5%, Hypertonie 40,2%, Prädiabetes 29,5%, Diabetes 13,4%; Frauen und 45–59-Jährige am stärksten betroffen; Fehlende Kindheits-Adipositas senkte OR für Adipositas (0,43), Diabetes (0,64), Hypertonie (0,63); geringe körperliche Aktivität erhöhte Hypertonie-Risiko (aOR=1,73).</w:t>
      </w:r>
    </w:p>
    <w:p>
      <w:r>
        <w:rPr>
          <w:b/>
          <w:sz w:val="19"/>
        </w:rPr>
        <w:t xml:space="preserve">Übertragbarkeit: </w:t>
      </w:r>
      <w:r>
        <w:rPr>
          <w:sz w:val="19"/>
        </w:rPr>
        <w:t>Ghana, LMIC-Kontext, Erkenntnisse zum frühen Verlauf und zu Präventionsfenstern übertragbar</w:t>
      </w:r>
    </w:p>
    <w:p>
      <w:r>
        <w:rPr>
          <w:color w:val="5A7D3A"/>
          <w:sz w:val="18"/>
        </w:rPr>
        <w:t>https://pubmed.ncbi.nlm.nih.gov/42809582/</w:t>
      </w:r>
    </w:p>
    <w:p>
      <w:pPr>
        <w:pStyle w:val="Heading2"/>
      </w:pPr>
      <w:r>
        <w:t>Ausgeglichene Bewegungsverhalten senkt Körperfettanstieg bei Schulkindern um 4%</w:t>
      </w:r>
    </w:p>
    <w:p>
      <w:r>
        <w:rPr>
          <w:i/>
          <w:color w:val="666666"/>
          <w:sz w:val="18"/>
        </w:rPr>
        <w:t>Zhao H et al.  ·  Eur J Pediatr  ·  29.09.2026  ·  PMID 42806172</w:t>
      </w:r>
    </w:p>
    <w:p>
      <w:r>
        <w:t>Längsschnittstudie mit 237 Schulkindern (8–12 Jahre) mit 1-Jahres-Follow-up zur Assoziation von 24-h-Bewegungsverhalten (Schlaf, Stillsitzen, leichte und intensive Aktivität) mit Körperfettänderung.</w:t>
      </w:r>
    </w:p>
    <w:p>
      <w:r>
        <w:rPr>
          <w:b/>
        </w:rPr>
        <w:t xml:space="preserve">Ergebnis: </w:t>
      </w:r>
      <w:r>
        <w:t>Optimale Komposition: 9,3 h Schlaf, 9,7 h Stillsitzen, 3,2 h leichte, 1,8 h intensive Aktivität; Einhaltung aller vier Parameter vs. nur einer reduzierte 1-Jahres-Körperfettzunahme um 4,0% (β=4,040, p=0,009); kein signifikanter Effekt auf BMI oder Taillen-Größen-Ratio.</w:t>
      </w:r>
    </w:p>
    <w:p>
      <w:r>
        <w:rPr>
          <w:b/>
          <w:sz w:val="19"/>
        </w:rPr>
        <w:t xml:space="preserve">Übertragbarkeit: </w:t>
      </w:r>
      <w:r>
        <w:rPr>
          <w:sz w:val="19"/>
        </w:rPr>
        <w:t>China, aber Beschleunigungsmeter-Messungen und Schlaf-Fragebogen international standardisiert</w:t>
      </w:r>
    </w:p>
    <w:p>
      <w:r>
        <w:rPr>
          <w:color w:val="5A7D3A"/>
          <w:sz w:val="18"/>
        </w:rPr>
        <w:t>https://pubmed.ncbi.nlm.nih.gov/42806172/</w:t>
      </w:r>
    </w:p>
    <w:p>
      <w:pPr>
        <w:pStyle w:val="Heading2"/>
      </w:pPr>
      <w:r>
        <w:t>BMI zeigt bidirektionale Wirkung auf Belastungstoleranz, mit Geschlechtsunterschiede</w:t>
      </w:r>
    </w:p>
    <w:p>
      <w:r>
        <w:rPr>
          <w:i/>
          <w:color w:val="666666"/>
          <w:sz w:val="18"/>
        </w:rPr>
        <w:t>Huang H et al.  ·  Ann Med  ·  28.09.2026  ·  PMID 42803415</w:t>
      </w:r>
    </w:p>
    <w:p>
      <w:r>
        <w:t>Retrospektive Studie mit 405 Patienten mit chronischem Koronarsyndrom zur Assoziation von BMI mit Cardiopulmonary-Exercise-Test-Parametern unter Berücksichtigung von Geschlecht.</w:t>
      </w:r>
    </w:p>
    <w:p>
      <w:r>
        <w:rPr>
          <w:b/>
        </w:rPr>
        <w:t xml:space="preserve">Ergebnis: </w:t>
      </w:r>
      <w:r>
        <w:t>Höherer BMI korreliert mit höherer absoluter Peak-VO2 (B=22,85, p&lt;0,001), aber niedrigerem Peak-VO2/kg (B=−0,214, p&lt;0,001); Effekt stärker in Männern für Peak-VO2 (B=31,71), in Frauen für Peak-VO2/kg (B=−0,242, p&lt;0,001).</w:t>
      </w:r>
    </w:p>
    <w:p>
      <w:r>
        <w:rPr>
          <w:b/>
          <w:sz w:val="19"/>
        </w:rPr>
        <w:t xml:space="preserve">Übertragbarkeit: </w:t>
      </w:r>
      <w:r>
        <w:rPr>
          <w:sz w:val="19"/>
        </w:rPr>
        <w:t>China, kardiale Funktion und Ausbelastbarkeit unabhängig vom System messbar</w:t>
      </w:r>
    </w:p>
    <w:p>
      <w:r>
        <w:rPr>
          <w:color w:val="5A7D3A"/>
          <w:sz w:val="18"/>
        </w:rPr>
        <w:t>https://pubmed.ncbi.nlm.nih.gov/42803415/</w:t>
      </w:r>
    </w:p>
    <w:p>
      <w:pPr>
        <w:pStyle w:val="Heading2"/>
      </w:pPr>
      <w:r>
        <w:t>Kardiometabolische Last bei Kinderkrebsüberlebenden nach Anthrazyklinen</w:t>
      </w:r>
    </w:p>
    <w:p>
      <w:r>
        <w:rPr>
          <w:i/>
          <w:color w:val="666666"/>
          <w:sz w:val="18"/>
        </w:rPr>
        <w:t>Viggósdóttir VH et al.  ·  J Pediatr Hematol Oncol  ·  01.10.2026  ·  PMID 42525877</w:t>
      </w:r>
    </w:p>
    <w:p>
      <w:r>
        <w:t>Querschnittsstudie mit 60 von 76 Überlebenden pädiatrischer Krebspatienten (mittleres Alter 34 Jahre), die anthrazyklinhaltiger Chemotherapie ausgesetzt waren, zur LV-Funktion und Metabolisches-Syndrom-Prävalenz.</w:t>
      </w:r>
    </w:p>
    <w:p>
      <w:r>
        <w:rPr>
          <w:b/>
        </w:rPr>
        <w:t xml:space="preserve">Ergebnis: </w:t>
      </w:r>
      <w:r>
        <w:t>25% zeigten linksventrikuläre Dilatation (meist mild–moderat); metabolisches Syndrom in 20%; aber nur 10% waren sich bewusst, dass Krebstherapie Kardiomyopathie verursachen kann; nur ~50% hatten Echokardiografie in der letzten Dekade erhalten.</w:t>
      </w:r>
    </w:p>
    <w:p>
      <w:r>
        <w:rPr>
          <w:b/>
          <w:sz w:val="19"/>
        </w:rPr>
        <w:t xml:space="preserve">Übertragbarkeit: </w:t>
      </w:r>
      <w:r>
        <w:rPr>
          <w:sz w:val="19"/>
        </w:rPr>
        <w:t>Island, europäisches System, Übertragbar für strukturierte Langzeit-Nachsorge und Awareness-Kampagnen</w:t>
      </w:r>
    </w:p>
    <w:p>
      <w:r>
        <w:rPr>
          <w:color w:val="5A7D3A"/>
          <w:sz w:val="18"/>
        </w:rPr>
        <w:t>https://pubmed.ncbi.nlm.nih.gov/42525877/</w:t>
      </w:r>
    </w:p>
    <w:p>
      <w:pPr>
        <w:pStyle w:val="Heading2"/>
      </w:pPr>
      <w:r>
        <w:t>Mikrobiota-GABA-Mangel bei Adipositas fördert Darmkrebsprogression</w:t>
      </w:r>
    </w:p>
    <w:p>
      <w:r>
        <w:rPr>
          <w:i/>
          <w:color w:val="666666"/>
          <w:sz w:val="18"/>
        </w:rPr>
        <w:t>Guo W et al.  ·  Nat Commun  ·  27.07.2026  ·  PMID 42503520</w:t>
      </w:r>
    </w:p>
    <w:p>
      <w:r>
        <w:t>Mechanistische Studie mit genetischen Mausmodellen und Biomarker-Analysen bei Menschen mit Adipositas zur Rolle der GABA-produzierenden Bakterie Bacteroides ovatus in der Tumorsuppression.</w:t>
      </w:r>
    </w:p>
    <w:p>
      <w:r>
        <w:rPr>
          <w:b/>
        </w:rPr>
        <w:t xml:space="preserve">Ergebnis: </w:t>
      </w:r>
      <w:r>
        <w:t>Hochfett-Diät und Adipositas-assoziierte Dysbiose reduzierten B. ovatus und fäkale GABA um etwa 50%; GABA-Supplementierung oder Rekolonisation mit wildtypischen Bakterien reduzierten Tumorbürde deutlich – eine mikrobiota-vermittelte Prävention.</w:t>
      </w:r>
    </w:p>
    <w:p>
      <w:r>
        <w:rPr>
          <w:b/>
          <w:sz w:val="19"/>
        </w:rPr>
        <w:t xml:space="preserve">Übertragbarkeit: </w:t>
      </w:r>
      <w:r>
        <w:rPr>
          <w:sz w:val="19"/>
        </w:rPr>
        <w:t>Grundlageneinsicht, Präventionspotenzial für Populationen mit Adipositas noch in Translation</w:t>
      </w:r>
    </w:p>
    <w:p>
      <w:r>
        <w:rPr>
          <w:color w:val="5A7D3A"/>
          <w:sz w:val="18"/>
        </w:rPr>
        <w:t>https://pubmed.ncbi.nlm.nih.gov/42503520/</w:t>
      </w:r>
    </w:p>
    <w:p>
      <w:pPr>
        <w:pStyle w:val="Heading1"/>
      </w:pPr>
      <w:r>
        <w:t>Aufgenommen am 29.09.2026</w:t>
      </w:r>
    </w:p>
    <w:p>
      <w:pPr>
        <w:pStyle w:val="Heading2"/>
      </w:pPr>
      <w:r>
        <w:t>Frühdiagnose und regelmäßige Nachsorge senken Sterblichkeit bei Adipositas-Hypoventilations-Syndrom</w:t>
      </w:r>
    </w:p>
    <w:p>
      <w:r>
        <w:rPr>
          <w:i/>
          <w:color w:val="666666"/>
          <w:sz w:val="18"/>
        </w:rPr>
        <w:t>Agossou M et al.  ·  BMJ Open Respir Res  ·  28.09.2026  ·  PMID 42805766</w:t>
      </w:r>
    </w:p>
    <w:p>
      <w:r>
        <w:t>Bei 167 Patienten mit Adipositas-Hypoventilations-Syndrom (OHS) in Martinique wurden Risikofaktoren für Sterblichkeit und der Einfluss der Versorgungskontinuität untersucht.</w:t>
      </w:r>
    </w:p>
    <w:p>
      <w:r>
        <w:rPr>
          <w:b/>
        </w:rPr>
        <w:t xml:space="preserve">Ergebnis: </w:t>
      </w:r>
      <w:r>
        <w:t>5-Jahres-Sterblichkeit: 12,6 %, Gesamtsterblichkeit (n=44, 26,4 %). Unabhängige Mortalitätsprädiktoren: OHS-Diagnose bei akutem Atemversagen (HR 6,60; 95%-KI 1,50–29,10), unregelmäßige Nachsorge (HR 5,00; 2,82–14,29), Herzerkrankung (HR 3,63; 1,51–8,70), niedriger Hämatokrit (HR 1,12 pro Punkt; 1,03–1,22) und höheres Alter (HR 1,04 pro Jahr; 1,01–1,08). Schlussfolgerung: Strukturierte Früherkennung und kontinuierliche ärztliche Betreuung sind entscheidend für die Reduktion von OHS-Mortalität.</w:t>
      </w:r>
    </w:p>
    <w:p>
      <w:r>
        <w:rPr>
          <w:b/>
          <w:sz w:val="19"/>
        </w:rPr>
        <w:t xml:space="preserve">Übertragbarkeit: </w:t>
      </w:r>
      <w:r>
        <w:rPr>
          <w:sz w:val="19"/>
        </w:rPr>
        <w:t>Französische Karibik, übertragbare Nachsorge-Struktur auf europäische Systeme</w:t>
      </w:r>
    </w:p>
    <w:p>
      <w:r>
        <w:rPr>
          <w:color w:val="5A7D3A"/>
          <w:sz w:val="18"/>
        </w:rPr>
        <w:t>https://pubmed.ncbi.nlm.nih.gov/42805766/</w:t>
      </w:r>
    </w:p>
    <w:p>
      <w:pPr>
        <w:pStyle w:val="Heading2"/>
      </w:pPr>
      <w:r>
        <w:t>Strukturierte Gewichtsreduktion verminderte Abbruchquote bei Brustkrebsrisiko</w:t>
      </w:r>
    </w:p>
    <w:p>
      <w:r>
        <w:rPr>
          <w:i/>
          <w:color w:val="666666"/>
          <w:sz w:val="18"/>
        </w:rPr>
        <w:t>Clarke H et al.  ·  BMJ Open  ·  28.09.2026  ·  PMID 42805663</w:t>
      </w:r>
    </w:p>
    <w:p>
      <w:r>
        <w:t>79 % der 47 Frauen mit Adipositas und erhöhtem Brust- oder Endometriumkrebsrisiko schlossen ein 12-Monate Programm mit Totaldiäternährung (TDR) ab und zeigten messbare Gewichtsverluste und Lebensqualitätsgewinne.</w:t>
      </w:r>
    </w:p>
    <w:p>
      <w:r>
        <w:rPr>
          <w:b/>
        </w:rPr>
        <w:t xml:space="preserve">Ergebnis: </w:t>
      </w:r>
      <w:r>
        <w:t>37 von 47 Frauen (79 %) vollendeten das Programm. Gewichtsverlust betrug –10,8 kg nach 3 Monaten, –11,5 kg nach 6 Monaten und –8,4 kg nach 12 Monaten. Lebensqualität (OWL-QOL) verbesserte sich um –24,8 Punkte, Binge-Eating-Scores sanken um –4 Punkte. Mittlere Kontakte mit Diätassistentinnen: 28 pro Person über 12 Monate. 68 % erhielten psychologische Unterstützung. Zusammenfassung: TDR ermöglichte hohe Therapietreue und dauerhafte Gewichtsabnahme unter intensiver Betreuung.</w:t>
      </w:r>
    </w:p>
    <w:p>
      <w:r>
        <w:rPr>
          <w:b/>
          <w:sz w:val="19"/>
        </w:rPr>
        <w:t xml:space="preserve">Übertragbarkeit: </w:t>
      </w:r>
      <w:r>
        <w:rPr>
          <w:sz w:val="19"/>
        </w:rPr>
        <w:t>UK-Sekundärversorgung, hohe Ressourcenintensität, vergleichbar mit deutschen Zentren</w:t>
      </w:r>
    </w:p>
    <w:p>
      <w:r>
        <w:rPr>
          <w:color w:val="5A7D3A"/>
          <w:sz w:val="18"/>
        </w:rPr>
        <w:t>https://pubmed.ncbi.nlm.nih.gov/42805663/</w:t>
      </w:r>
    </w:p>
    <w:p>
      <w:pPr>
        <w:pStyle w:val="Heading2"/>
      </w:pPr>
      <w:r>
        <w:t>Peer-Empfehlungen verbessern Therapietreue in digitaler Gewichtsreduktion mit Tirzepatid</w:t>
      </w:r>
    </w:p>
    <w:p>
      <w:r>
        <w:rPr>
          <w:i/>
          <w:color w:val="666666"/>
          <w:sz w:val="18"/>
        </w:rPr>
        <w:t>Talay L et al.  ·  J Med Internet Res  ·  28.09.2026  ·  PMID 42804756</w:t>
      </w:r>
    </w:p>
    <w:p>
      <w:r>
        <w:t>Retrospektive Kohortenanalyse von 34.449 erwachsenen Nutzern eines unsubventionierten, tirzepatid-gestützten digitalen Gewichtsreduktions-Services in Australien verglich Ergebnisse nach Empfehlungsweg.</w:t>
      </w:r>
    </w:p>
    <w:p>
      <w:r>
        <w:rPr>
          <w:b/>
        </w:rPr>
        <w:t xml:space="preserve">Ergebnis: </w:t>
      </w:r>
      <w:r>
        <w:t>Patienten mit Peer-Empfehlung zeigten höhere 6-Monats-Therapietreue und größeren Prozentsatz-Gewichtsverlust als propensity-score-gematchte Nicht-Empfehlung-Patienten. Schlussfolgerung: Peer-Referral-Wege unterstützen Verbleib und Effektivität in medikamentöser Adipositasbehandlung. Begrenzte Zahlenangaben im Abstract; Hauptbefund ist Adhärenz-Vorteil.</w:t>
      </w:r>
    </w:p>
    <w:p>
      <w:r>
        <w:rPr>
          <w:b/>
          <w:sz w:val="19"/>
        </w:rPr>
        <w:t xml:space="preserve">Übertragbarkeit: </w:t>
      </w:r>
      <w:r>
        <w:rPr>
          <w:sz w:val="19"/>
        </w:rPr>
        <w:t>Australien, Privatversicherungs-Modell, Tirzepatid ist in Australien erstattet – in Deutschland nicht</w:t>
      </w:r>
    </w:p>
    <w:p>
      <w:r>
        <w:rPr>
          <w:color w:val="5A7D3A"/>
          <w:sz w:val="18"/>
        </w:rPr>
        <w:t>https://pubmed.ncbi.nlm.nih.gov/42804756/</w:t>
      </w:r>
    </w:p>
    <w:p>
      <w:pPr>
        <w:pStyle w:val="Heading2"/>
      </w:pPr>
      <w:r>
        <w:t>Adipositas in Südasien steigt steil – Wohlhabendere Frauen am stärksten betroffen</w:t>
      </w:r>
    </w:p>
    <w:p>
      <w:r>
        <w:rPr>
          <w:i/>
          <w:color w:val="666666"/>
          <w:sz w:val="18"/>
        </w:rPr>
        <w:t>Hendry M et al.  ·  Glob Health Action  ·  31.12.2026  ·  PMID 42802930</w:t>
      </w:r>
    </w:p>
    <w:p>
      <w:r>
        <w:t>Analyse von Bevölkerungsumfragen aus fünf südasiatischen Ländern (2000–2022, 1,56 Mio. Frauen 15–49 Jahre) zeigte stark ansteigende Adipositasprävalenzen mit besonderem Anstieg in urbanen, wohlhabenderen Bevölkerungsgruppen.</w:t>
      </w:r>
    </w:p>
    <w:p>
      <w:r>
        <w:rPr>
          <w:b/>
        </w:rPr>
        <w:t xml:space="preserve">Ergebnis: </w:t>
      </w:r>
      <w:r>
        <w:t>Adipositas-Prävalenz stieg in allen Ländern außer den Malediven, mit Spannweite von 5 % bis 37 %. Stärkster Anstieg in urbanen Gebieten (z. B. Bangladesch: 13 % auf 46 %), bei Wohlhabenden (Nepal 23 % bis Pakistan 73 %) und bei weniger gebildeten Frauen. Schlussfolgerung: Epidemiologischer Wandel zu steigender Adipositas bei Frauen im reproduktiven Alter zeigt asymmetrische soziale Verteilung.</w:t>
      </w:r>
    </w:p>
    <w:p>
      <w:r>
        <w:rPr>
          <w:b/>
          <w:sz w:val="19"/>
        </w:rPr>
        <w:t xml:space="preserve">Übertragbarkeit: </w:t>
      </w:r>
      <w:r>
        <w:rPr>
          <w:sz w:val="19"/>
        </w:rPr>
        <w:t>Niederlande, Belgien, Frankreich haben ähnliche Ungleichheits-Mechanismen</w:t>
      </w:r>
    </w:p>
    <w:p>
      <w:r>
        <w:rPr>
          <w:color w:val="5A7D3A"/>
          <w:sz w:val="18"/>
        </w:rPr>
        <w:t>https://pubmed.ncbi.nlm.nih.gov/42802930/</w:t>
      </w:r>
    </w:p>
    <w:p>
      <w:pPr>
        <w:pStyle w:val="Heading2"/>
      </w:pPr>
      <w:r>
        <w:t>Massive Wissenslücken und implizite Weight Bias bei vietnamesischen Gesundheitsarbeitern</w:t>
      </w:r>
    </w:p>
    <w:p>
      <w:r>
        <w:rPr>
          <w:i/>
          <w:color w:val="666666"/>
          <w:sz w:val="18"/>
        </w:rPr>
        <w:t>Tran TDM  ·  J ASEAN Fed Endocr Soc  ·  12.08.2026  ·  PMID 42802762</w:t>
      </w:r>
    </w:p>
    <w:p>
      <w:r>
        <w:t>Befragung von 232 Gesundheitsarbeitern zu Wissen, Einstellungen und Praxis bei der Adipositasbehandlung identifizierte erhebliche Defizite und Stigmatisierung.</w:t>
      </w:r>
    </w:p>
    <w:p>
      <w:r>
        <w:rPr>
          <w:b/>
        </w:rPr>
        <w:t xml:space="preserve">Ergebnis: </w:t>
      </w:r>
      <w:r>
        <w:t>Nur 63,8 % (95%-KI 57,3–70,3 %) erkannten Adipositas als chronische Erkrankung. Weniger als die Hälfte kannten zugelassene Pharmakotherapien. 79,7 % (75,0–84,9 %) führten Gewichtsverlust primär auf Patientenverantwortung zurück, was auf implizite Weight Bias hindeutet. Ärzte zeigten signifikant höhere Odds für unzureichende Gewichtsmanagement-Kenntnisse als sonstiges Personal (OR 4,5; 95%-KI 2,1–9,5). Ergebnis: Systematische Schulungsdefizite und Stigma blockieren eine patientengerechte Adipositasversorgung.</w:t>
      </w:r>
    </w:p>
    <w:p>
      <w:r>
        <w:rPr>
          <w:b/>
          <w:sz w:val="19"/>
        </w:rPr>
        <w:t xml:space="preserve">Übertragbarkeit: </w:t>
      </w:r>
      <w:r>
        <w:rPr>
          <w:sz w:val="19"/>
        </w:rPr>
        <w:t>Vietnam, aber Befunde zur Wissenslücke relevant für Systeme ohne spezialisierte Schulung</w:t>
      </w:r>
    </w:p>
    <w:p>
      <w:r>
        <w:rPr>
          <w:color w:val="5A7D3A"/>
          <w:sz w:val="18"/>
        </w:rPr>
        <w:t>https://pubmed.ncbi.nlm.nih.gov/42802762/</w:t>
      </w:r>
    </w:p>
    <w:p>
      <w:pPr>
        <w:pStyle w:val="Heading2"/>
      </w:pPr>
      <w:r>
        <w:t>Gewichtsverlust trotz Ernährungssupport prognostiziert schlechte Ergebnisse nach Chemoradiotherapie</w:t>
      </w:r>
    </w:p>
    <w:p>
      <w:r>
        <w:rPr>
          <w:i/>
          <w:color w:val="666666"/>
          <w:sz w:val="18"/>
        </w:rPr>
        <w:t>Inamochi Y et al.  ·  Support Care Cancer  ·  28.09.2026  ·  PMID 42802279</w:t>
      </w:r>
    </w:p>
    <w:p>
      <w:r>
        <w:t>Retrospektive Studie an 105 Patienten mit fortgeschrittenem Kopf-Hals-Tumor zeigte, dass Gewichtsverlust ≥5 % zwischen Operation und Chemoradiotherapie trotz Ernährungsinterventionen ein unabhängiger Mortalitätsprädiktor war.</w:t>
      </w:r>
    </w:p>
    <w:p>
      <w:r>
        <w:rPr>
          <w:b/>
        </w:rPr>
        <w:t xml:space="preserve">Ergebnis: </w:t>
      </w:r>
      <w:r>
        <w:t>Medianer Gewichtsverlust vor Chemoradiotherapie: 4,8 %, gesamt: 7,9 %. Patienten mit Rezidiv: 6,1 % vs. ohne Rezidiv: 4,0 % (p=0,004). Patienten mit ≥5 % Gewichtsverlust vor Therapie hatten signifikant schlechtere rezidivfreie Überlebenszeit (log-rank p=0,001) und Gesamtüberleben (p&lt;0,001). In multivariater Analyse: ≥5 % Gewichtsverlust unabhängig mit schlechterem Überleben assoziiert (HR 2,54; 95%-KI 1,35–4,80). Grad ≥3 Nebenwirkungen: 81,8 % vs. 86,0 % (nicht signifikant). Schlussfolgerung: Prätherapeutischer Gewichtsverlust ist einfach messbarer prognostischer Marker.</w:t>
      </w:r>
    </w:p>
    <w:p>
      <w:r>
        <w:rPr>
          <w:b/>
          <w:sz w:val="19"/>
        </w:rPr>
        <w:t xml:space="preserve">Übertragbarkeit: </w:t>
      </w:r>
      <w:r>
        <w:rPr>
          <w:sz w:val="19"/>
        </w:rPr>
        <w:t>Japanische Klinikdaten zu Onkologie-Nachsorge, strukturelle Parallelen in DACH</w:t>
      </w:r>
    </w:p>
    <w:p>
      <w:r>
        <w:rPr>
          <w:color w:val="5A7D3A"/>
          <w:sz w:val="18"/>
        </w:rPr>
        <w:t>https://pubmed.ncbi.nlm.nih.gov/42802279/</w:t>
      </w:r>
    </w:p>
    <w:p>
      <w:pPr>
        <w:pStyle w:val="Heading1"/>
      </w:pPr>
      <w:r>
        <w:t>Aufgenommen am 28.09.2026</w:t>
      </w:r>
    </w:p>
    <w:p>
      <w:pPr>
        <w:pStyle w:val="Heading2"/>
      </w:pPr>
      <w:r>
        <w:t>Teleintervention-Nachsorge stabilisierte Gewicht und Lebensqualität nach Kindheitsadipositasbehandlung</w:t>
      </w:r>
    </w:p>
    <w:p>
      <w:r>
        <w:rPr>
          <w:i/>
          <w:color w:val="666666"/>
          <w:sz w:val="18"/>
        </w:rPr>
        <w:t>Wittmann A et al.  ·  Pediatr Obes  ·  Okt. 2026  ·  PMID 42802014</w:t>
      </w:r>
    </w:p>
    <w:p>
      <w:r>
        <w:t>Systematische Übersicht von Studien zu Teleintervention-Nachsorgeprogrammen für Kinder und Jugendliche nach strukturierter Adipositasbehandlung mit Fokus auf Lebensstiländerung und psychosoziale Ergebnisse.</w:t>
      </w:r>
    </w:p>
    <w:p>
      <w:r>
        <w:rPr>
          <w:b/>
        </w:rPr>
        <w:t xml:space="preserve">Ergebnis: </w:t>
      </w:r>
      <w:r>
        <w:t>8 Studien (6 RCTs, 2 Vorher-nachher): Teleintervention-Programme waren mit Stabilisierung des erreichten Gewichts verbunden, nicht mit zusätzlichem Gewichtsverlust. Konsistent zeigten sich Verbesserungen psychosozialer Ergebnisse, Lebensstiländerungen (z. B. Bildschirmzeit), BMI-Stabilisierung und substantielle Reduktion von Arztbesuchen und Kosten. Hohe Machbarkeit dokumentiert; menschliche Komponente kann notwendig sein.</w:t>
      </w:r>
    </w:p>
    <w:p>
      <w:r>
        <w:rPr>
          <w:b/>
          <w:sz w:val="19"/>
        </w:rPr>
        <w:t xml:space="preserve">Übertragbarkeit: </w:t>
      </w:r>
      <w:r>
        <w:rPr>
          <w:sz w:val="19"/>
        </w:rPr>
        <w:t>Deutschland, europäische Gesundheitssysteme – vergleichbare Strukturen der Adipositasbehandlung im Kindesalter.</w:t>
      </w:r>
    </w:p>
    <w:p>
      <w:r>
        <w:rPr>
          <w:color w:val="5A7D3A"/>
          <w:sz w:val="18"/>
        </w:rPr>
        <w:t>https://pubmed.ncbi.nlm.nih.gov/42802014/</w:t>
      </w:r>
    </w:p>
    <w:p>
      <w:pPr>
        <w:pStyle w:val="Heading2"/>
      </w:pPr>
      <w:r>
        <w:t>Psychosoziale Belastung in der Schwangerschaft prägte Übergewicht im Kleinkindalter</w:t>
      </w:r>
    </w:p>
    <w:p>
      <w:r>
        <w:rPr>
          <w:i/>
          <w:color w:val="666666"/>
          <w:sz w:val="18"/>
        </w:rPr>
        <w:t>Kim CN et al.  ·  Pediatr Obes  ·  Okt. 2026  ·  PMID 42802012</w:t>
      </w:r>
    </w:p>
    <w:p>
      <w:r>
        <w:t>Sekundäranalyse von 533 Schwangeren aus hispanischen Familien mit nierigem Einkommen; latente Klassenanalyse identifizierte Schwangerengruppen nach Stressoren und materialen Schwierigkeiten; Assoziation mit Kindgewicht im Alter von 2 Jahren.</w:t>
      </w:r>
    </w:p>
    <w:p>
      <w:r>
        <w:rPr>
          <w:b/>
        </w:rPr>
        <w:t xml:space="preserve">Ergebnis: </w:t>
      </w:r>
      <w:r>
        <w:t>Drei identifizierte Gruppen: Nicht-US-geboren/weniger Stressoren (51 %), Nicht-US-geboren/mehr Stressoren (25 %), US-geboren/weniger Stressoren (24 %). Kinder von Müttern mit höheren Stressoren hatten höhere Gewicht-für-Alter-z-Scores (Mdiff = 0,61, p = 0,003) und höhere Quote von Übergewicht/Adipositas (aOR = 2,83, p = 0,007) als Vergleichsgruppen. Psychosoziale Stressoren und materiale Schwierigkeiten in der Schwangerschaft sind Risikofaktoren.</w:t>
      </w:r>
    </w:p>
    <w:p>
      <w:r>
        <w:rPr>
          <w:b/>
          <w:sz w:val="19"/>
        </w:rPr>
        <w:t xml:space="preserve">Übertragbarkeit: </w:t>
      </w:r>
      <w:r>
        <w:rPr>
          <w:sz w:val="19"/>
        </w:rPr>
        <w:t>USA, begrenzte Übertragbarkeit – aber psychosoziale Mechanismen relevant für deutschsprachigen Raum.</w:t>
      </w:r>
    </w:p>
    <w:p>
      <w:r>
        <w:rPr>
          <w:color w:val="5A7D3A"/>
          <w:sz w:val="18"/>
        </w:rPr>
        <w:t>https://pubmed.ncbi.nlm.nih.gov/42802012/</w:t>
      </w:r>
    </w:p>
    <w:p>
      <w:pPr>
        <w:pStyle w:val="Heading2"/>
      </w:pPr>
      <w:r>
        <w:t>Mittelmeerdiät senkte Übergewichtsrisiko im Kindesalter um 0,42 kg/m²</w:t>
      </w:r>
    </w:p>
    <w:p>
      <w:r>
        <w:rPr>
          <w:i/>
          <w:color w:val="666666"/>
          <w:sz w:val="18"/>
        </w:rPr>
        <w:t>Gholami Shahrbabak M et al.  ·  Pediatr Obes  ·  Okt. 2026  ·  PMID 42802010</w:t>
      </w:r>
    </w:p>
    <w:p>
      <w:r>
        <w:t>Meta-Analyse von 23 Kohortenstudien (26 Studien) zu Mittelmeerdiät-Adhärenz und Übergewicht/Adipositas bei Kindern und Jugendlichen bis Oktober 2025.</w:t>
      </w:r>
    </w:p>
    <w:p>
      <w:r>
        <w:rPr>
          <w:b/>
        </w:rPr>
        <w:t xml:space="preserve">Ergebnis: </w:t>
      </w:r>
      <w:r>
        <w:t>BMI in Kindern mit höherer Mittelmeerdiät-Adhärenz war signifikant niedriger (gewichtetes Mittelwertdifferenz –0,42 kg/m², 95%-KI –0,61 bis –0,23, p &lt; 0,001). Kinder mit Übergewicht zeigten niedrigere Adhärenz-Scores als Normalgewichtige (–0,44 Punkte, p &lt; 0,001). Heterogenität substantiell, Evidenz ausschließlich querschnittlich.</w:t>
      </w:r>
    </w:p>
    <w:p>
      <w:r>
        <w:rPr>
          <w:b/>
          <w:sz w:val="19"/>
        </w:rPr>
        <w:t xml:space="preserve">Übertragbarkeit: </w:t>
      </w:r>
      <w:r>
        <w:rPr>
          <w:sz w:val="19"/>
        </w:rPr>
        <w:t>Südeuropa, Mittelmeerraum – aber Ergebnis unabhängig von Gesundheitssystem übertragbar; Basis für Präventionsempfehlungen.</w:t>
      </w:r>
    </w:p>
    <w:p>
      <w:r>
        <w:rPr>
          <w:color w:val="5A7D3A"/>
          <w:sz w:val="18"/>
        </w:rPr>
        <w:t>https://pubmed.ncbi.nlm.nih.gov/42802010/</w:t>
      </w:r>
    </w:p>
    <w:p>
      <w:pPr>
        <w:pStyle w:val="Heading2"/>
      </w:pPr>
      <w:r>
        <w:t>Ethnische Segregation und Schulumgebung prägen Adipositasunterschiede im Kindesalter</w:t>
      </w:r>
    </w:p>
    <w:p>
      <w:r>
        <w:rPr>
          <w:i/>
          <w:color w:val="666666"/>
          <w:sz w:val="18"/>
        </w:rPr>
        <w:t>Miller S et al.  ·  Pediatr Obes  ·  Okt. 2026  ·  PMID 42802009</w:t>
      </w:r>
    </w:p>
    <w:p>
      <w:r>
        <w:t>Beobachtungsstudie mit Daten von kalifornischen Schulkindern 2018/2019; Analyse, wie ethnische Disparitäten in Übergewicht/Adipositas nach Ethnische Zusammensetzung der Schule und Armutsstatus des Schulviertels variieren.</w:t>
      </w:r>
    </w:p>
    <w:p>
      <w:r>
        <w:rPr>
          <w:b/>
        </w:rPr>
        <w:t xml:space="preserve">Ergebnis: </w:t>
      </w:r>
      <w:r>
        <w:t>Disparitäten zwischen Schwarzen, lateinamerikanischen und weißen Kindern variierten stark nach Schulkontext. In integrierten niedrig-income-Schulen waren Black vs. White-Disparitäten 3 Prozentpunkte, in segregierten high-income-Schulen 22 Prozentpunkte. Größte Disparität zwischen Minderheitskindern in segregierten Schulen gegen weiße Kinder in segregierten reichen Schulen (23-28 Prozentpunkte).</w:t>
      </w:r>
    </w:p>
    <w:p>
      <w:r>
        <w:rPr>
          <w:b/>
          <w:sz w:val="19"/>
        </w:rPr>
        <w:t xml:space="preserve">Übertragbarkeit: </w:t>
      </w:r>
      <w:r>
        <w:rPr>
          <w:sz w:val="19"/>
        </w:rPr>
        <w:t>USA, kalifornischer Kontext – aber Befund zu Segregation und Armut relevant für deutsche Stadt-Land-Disparitäten.</w:t>
      </w:r>
    </w:p>
    <w:p>
      <w:r>
        <w:rPr>
          <w:color w:val="5A7D3A"/>
          <w:sz w:val="18"/>
        </w:rPr>
        <w:t>https://pubmed.ncbi.nlm.nih.gov/42802009/</w:t>
      </w:r>
    </w:p>
    <w:p>
      <w:pPr>
        <w:pStyle w:val="Heading2"/>
      </w:pPr>
      <w:r>
        <w:t>Ernährungsqualität und Gestationsgewichtszunahme in australischen Ureinwohner-Schwangerschaften</w:t>
      </w:r>
    </w:p>
    <w:p>
      <w:r>
        <w:rPr>
          <w:i/>
          <w:color w:val="666666"/>
          <w:sz w:val="18"/>
        </w:rPr>
        <w:t>Cameron C et al.  ·  Nutrients  ·  21.09.2026  ·  PMID 42797085</w:t>
      </w:r>
    </w:p>
    <w:p>
      <w:r>
        <w:t>Querschnittsanalyse von Schwangeren (n = 52, Zielgruppe: Aborigines und Torres-Strait-Islander) aus zwei australischen Kliniken; Australian Recommended Food Score (ARFS) bei Aufnahme und Ernährungsunterstützungs-Engagement.</w:t>
      </w:r>
    </w:p>
    <w:p>
      <w:r>
        <w:rPr>
          <w:b/>
        </w:rPr>
        <w:t xml:space="preserve">Ergebnis: </w:t>
      </w:r>
      <w:r>
        <w:t>Medianer ARFS 39 von 73. Frauen &gt; 25 Jahre hatten höhere ARFS (β = 3,28, p = 0,027). Fruchtkonsum stieg bis späte Schwangerschaft (McNemar p = 0,004). Hoher Konsum energiedichter Getränke/Snacks (60-68 %). Von 52 Frauen: 15,4 % normale Gewichtszunahme, 57,7 % übermäßig. In hochem Ernährungsunterstützungs-Engagement: 24,0 % vs. 7,4 % normales Gewicht (p ≤ 0,001).</w:t>
      </w:r>
    </w:p>
    <w:p>
      <w:r>
        <w:rPr>
          <w:b/>
          <w:sz w:val="19"/>
        </w:rPr>
        <w:t xml:space="preserve">Übertragbarkeit: </w:t>
      </w:r>
      <w:r>
        <w:rPr>
          <w:sz w:val="19"/>
        </w:rPr>
        <w:t>Australien, vergleichbar mit DACH-Systemen – aber indigene Bevölkerung, kulturelle Faktoren relevant für Übertragbarkeit.</w:t>
      </w:r>
    </w:p>
    <w:p>
      <w:r>
        <w:rPr>
          <w:color w:val="5A7D3A"/>
          <w:sz w:val="18"/>
        </w:rPr>
        <w:t>https://pubmed.ncbi.nlm.nih.gov/42797085/</w:t>
      </w:r>
    </w:p>
    <w:p>
      <w:pPr>
        <w:pStyle w:val="Heading2"/>
      </w:pPr>
      <w:r>
        <w:t>Edmonton- und Lancet-Klassifikation unterscheiden Adipositasschweregrad unterschiedlich</w:t>
      </w:r>
    </w:p>
    <w:p>
      <w:r>
        <w:rPr>
          <w:i/>
          <w:color w:val="666666"/>
          <w:sz w:val="18"/>
        </w:rPr>
        <w:t>Hagemann T et al.  ·  Obesity (Silver Spring)  ·  01.09.2026  ·  PMID 42680509</w:t>
      </w:r>
    </w:p>
    <w:p>
      <w:r>
        <w:t>Vergleich zweier Klassifikationssysteme (Edmonton Obesity Staging System und Lancet Diagnostic Model for Obesity) angewandt auf UK-Biobank-Daten (N ≈ 411.000) zur Beurteilung von Adipositasschweregrad.</w:t>
      </w:r>
    </w:p>
    <w:p>
      <w:r>
        <w:rPr>
          <w:b/>
        </w:rPr>
        <w:t xml:space="preserve">Ergebnis: </w:t>
      </w:r>
      <w:r>
        <w:t>Etwa ein Viertel in beiden Systemen als adipös klassifiziert; hohe Konkordanz bei fortgeschrittener Erkrankung. Unterschiede in Frühstadien: Lancet-Modell erfasste mildere subklinische Organdysfunktion breiter, Edmonton betonte fortgeschrittene Manifestationen. ~50 % reklassifiziert wenn BMI mit Fettverteilungsmaßen kombiniert. Systeme ergänzen sich conceptuell.</w:t>
      </w:r>
    </w:p>
    <w:p>
      <w:r>
        <w:rPr>
          <w:b/>
          <w:sz w:val="19"/>
        </w:rPr>
        <w:t xml:space="preserve">Übertragbarkeit: </w:t>
      </w:r>
      <w:r>
        <w:rPr>
          <w:sz w:val="19"/>
        </w:rPr>
        <w:t>UK-Biobank-Daten, übertragbare Methodologie – aber Klassifikation hängt von Anerkennung und Kodierung ab.</w:t>
      </w:r>
    </w:p>
    <w:p>
      <w:r>
        <w:rPr>
          <w:color w:val="5A7D3A"/>
          <w:sz w:val="18"/>
        </w:rPr>
        <w:t>https://pubmed.ncbi.nlm.nih.gov/42680509/</w:t>
      </w:r>
    </w:p>
    <w:p>
      <w:pPr>
        <w:pStyle w:val="Heading1"/>
      </w:pPr>
      <w:r>
        <w:t>Aufgenommen am 27.09.2026</w:t>
      </w:r>
    </w:p>
    <w:p>
      <w:pPr>
        <w:pStyle w:val="Heading2"/>
      </w:pPr>
      <w:r>
        <w:t>Ernährungsverhalten vermittelt Erfolg von Adipositas-Intervention bei Kindern: Analyse der DECIDE-Studie</w:t>
      </w:r>
    </w:p>
    <w:p>
      <w:r>
        <w:rPr>
          <w:i/>
          <w:color w:val="666666"/>
          <w:sz w:val="18"/>
        </w:rPr>
        <w:t>Zhang L et al.  ·  Nutrients  ·  18.09.2026  ·  PMID 42797034</w:t>
      </w:r>
    </w:p>
    <w:p>
      <w:r>
        <w:t>Cluster-randomisierte Studie mit 1.180 Kindern, die eine 9-monatige Multiplikations-Intervention erhielten (Gesundheitsbildung, Aktivitätsförderung, App-gestützte BMI-Überwachung und Umweltveränderungen in Schulen und Familien).</w:t>
      </w:r>
    </w:p>
    <w:p>
      <w:r>
        <w:rPr>
          <w:b/>
        </w:rPr>
        <w:t xml:space="preserve">Ergebnis: </w:t>
      </w:r>
      <w:r>
        <w:t>Die Intervention senkte die Gesamtkörperfettmasse um 1,003 % und erhöhte die fettfreie Masse; die Ernährungsverhalten vermittelten 16,1 % dieses Effekts, während körperliche Aktivität keine signifikante Mediatorrolle zeigte. Bildschirmzeit und moderate-intensive körperliche Aktivität zeigten keine Mediation.</w:t>
      </w:r>
    </w:p>
    <w:p>
      <w:r>
        <w:rPr>
          <w:b/>
          <w:sz w:val="19"/>
        </w:rPr>
        <w:t xml:space="preserve">Übertragbarkeit: </w:t>
      </w:r>
      <w:r>
        <w:rPr>
          <w:sz w:val="19"/>
        </w:rPr>
        <w:t>China, aber Methoden mit ähnlichen Adipositasmaßnahmen in Schulen wie in Deutschland einsetzbar</w:t>
      </w:r>
    </w:p>
    <w:p>
      <w:r>
        <w:rPr>
          <w:color w:val="5A7D3A"/>
          <w:sz w:val="18"/>
        </w:rPr>
        <w:t>https://pubmed.ncbi.nlm.nih.gov/42797034/</w:t>
      </w:r>
    </w:p>
    <w:p>
      <w:pPr>
        <w:pStyle w:val="Heading2"/>
      </w:pPr>
      <w:r>
        <w:t>Vitamin-D- und B12-Mangel erhöhen metabolisches Erkrankungsrisiko bei Adipositas: TriNetX-Studie</w:t>
      </w:r>
    </w:p>
    <w:p>
      <w:r>
        <w:rPr>
          <w:i/>
          <w:color w:val="666666"/>
          <w:sz w:val="18"/>
        </w:rPr>
        <w:t>Osorio EY et al.  ·  Nutrients  ·  14.09.2026  ·  PMID 42796988</w:t>
      </w:r>
    </w:p>
    <w:p>
      <w:r>
        <w:t>Elektronische Gesundheitsakte-Analyse an US-amerikanischen Patienten mit Adipositas und verschiedenen Mangelernährungsarten (Vitamin D, B12, Kalzium, Magnesium, Protein) und deren Assoziation mit metabolischen Folgeerkrankungen.</w:t>
      </w:r>
    </w:p>
    <w:p>
      <w:r>
        <w:rPr>
          <w:b/>
        </w:rPr>
        <w:t xml:space="preserve">Ergebnis: </w:t>
      </w:r>
      <w:r>
        <w:t>Vitamin-D-Mangel (Median-HR 3,09, IQR 2,32–5,66), B12-Mangel (Median-HR 2,49, IQR 2,16–6,08) und vorherige Untergewicht-Diagnose (Median-HR 2,23, IQR 1,76–3,98) waren mit höchstem Risiko für metabolische Erkrankungen assoziiert. Prävalenz aller Mangelzustände stieg von 2023–2025 an.</w:t>
      </w:r>
    </w:p>
    <w:p>
      <w:r>
        <w:rPr>
          <w:b/>
          <w:sz w:val="19"/>
        </w:rPr>
        <w:t xml:space="preserve">Übertragbarkeit: </w:t>
      </w:r>
      <w:r>
        <w:rPr>
          <w:sz w:val="19"/>
        </w:rPr>
        <w:t>USA-Daten, aber die Mechanismen zwischen Malnutrition und Metabolikum sind unabhängig von Versicherungssystem</w:t>
      </w:r>
    </w:p>
    <w:p>
      <w:r>
        <w:rPr>
          <w:color w:val="5A7D3A"/>
          <w:sz w:val="18"/>
        </w:rPr>
        <w:t>https://pubmed.ncbi.nlm.nih.gov/42796988/</w:t>
      </w:r>
    </w:p>
    <w:p>
      <w:pPr>
        <w:pStyle w:val="Heading2"/>
      </w:pPr>
      <w:r>
        <w:t>Aquatic Exercise verbesserte Stürz-Risiko und exekutive Funktion bei älteren Frauen mit Adipositas: 16-Wochen-Beobachtung</w:t>
      </w:r>
    </w:p>
    <w:p>
      <w:r>
        <w:rPr>
          <w:i/>
          <w:color w:val="666666"/>
          <w:sz w:val="18"/>
        </w:rPr>
        <w:t>Seo YM et al.  ·  Medicina (Kaunas)  ·  31.08.2026  ·  PMID 42796274</w:t>
      </w:r>
    </w:p>
    <w:p>
      <w:r>
        <w:t>Prospektive Beobachtungsstudie an 30 älteren Frauen mit Adipositas (15 kombiniertes Aqua-Training, 15 Kontrollgruppe), die 16 Wochen überwacht wurden.</w:t>
      </w:r>
    </w:p>
    <w:p>
      <w:r>
        <w:rPr>
          <w:b/>
        </w:rPr>
        <w:t xml:space="preserve">Ergebnis: </w:t>
      </w:r>
      <w:r>
        <w:t>Aquatic-Gruppe zeigte größere Verbesserungen in Körperzusammensetzung, Muskelkraft und Balance; exekutive Funktion verbesserte sich signifikant (p&lt;0,001). Irisin-Werte stiegen signifikant (p=0,002); keine signifikanten Unterschiede in Gehgeschwindigkeit, Ausdauer oder IL-6.</w:t>
      </w:r>
    </w:p>
    <w:p>
      <w:r>
        <w:rPr>
          <w:b/>
          <w:sz w:val="19"/>
        </w:rPr>
        <w:t xml:space="preserve">Übertragbarkeit: </w:t>
      </w:r>
      <w:r>
        <w:rPr>
          <w:sz w:val="19"/>
        </w:rPr>
        <w:t>Südkorea, aber Aquatic-Programme sind in Deutschland etabliert und übertragbar</w:t>
      </w:r>
    </w:p>
    <w:p>
      <w:r>
        <w:rPr>
          <w:color w:val="5A7D3A"/>
          <w:sz w:val="18"/>
        </w:rPr>
        <w:t>https://pubmed.ncbi.nlm.nih.gov/42796274/</w:t>
      </w:r>
    </w:p>
    <w:p>
      <w:pPr>
        <w:pStyle w:val="Heading2"/>
      </w:pPr>
      <w:r>
        <w:t>Dietetic counseling with digital tools für älter Erwachsene mit MetS-Risiko: vorwiegend Verbesserung ohne Zusatznutzen von Apps</w:t>
      </w:r>
    </w:p>
    <w:p>
      <w:r>
        <w:rPr>
          <w:i/>
          <w:color w:val="666666"/>
          <w:sz w:val="18"/>
        </w:rPr>
        <w:t>Makri R et al.  ·  Obesity (Silver Spring)  ·  18.09.2026  ·  PMID 42759999</w:t>
      </w:r>
    </w:p>
    <w:p>
      <w:r>
        <w:t>Randomisierte Studie an 984 älteren Erwachsenen (≥55 Jahre) mit Stoffwechsel-Risikofaktoren, die 3 Monate lang dietätische Beratung allein, mit Webplattform oder mit Plattform plus digitalen Geräten erhielten.</w:t>
      </w:r>
    </w:p>
    <w:p>
      <w:r>
        <w:rPr>
          <w:b/>
        </w:rPr>
        <w:t xml:space="preserve">Ergebnis: </w:t>
      </w:r>
      <w:r>
        <w:t>Taillenumfang sank in allen Gruppen (Plattform -1,38 cm, 95%-KI -2,37 bis -0,38; Plattform+Geräte -1,61 cm, 95%-KI -2,61 bis -0,60). Dietätische Beratung verbesserte Anthropometrie und metabolische Parameter; digitale Tools erhöhten die körperliche Aktivität (+55,52 MET-min/Woche, 95%-KI 15,32–95,72), brachten aber keinen zusätzlichen kurzfristigen metabolischen Nutzen.</w:t>
      </w:r>
    </w:p>
    <w:p>
      <w:r>
        <w:rPr>
          <w:b/>
          <w:sz w:val="19"/>
        </w:rPr>
        <w:t xml:space="preserve">Übertragbarkeit: </w:t>
      </w:r>
      <w:r>
        <w:rPr>
          <w:sz w:val="19"/>
        </w:rPr>
        <w:t>Griechenland, vergleichbar mit deutschem Sozialversicherungssystem für spezialisierte Ernährungsberatung</w:t>
      </w:r>
    </w:p>
    <w:p>
      <w:r>
        <w:rPr>
          <w:color w:val="5A7D3A"/>
          <w:sz w:val="18"/>
        </w:rPr>
        <w:t>https://pubmed.ncbi.nlm.nih.gov/42759999/</w:t>
      </w:r>
    </w:p>
    <w:p>
      <w:pPr>
        <w:pStyle w:val="Heading2"/>
      </w:pPr>
      <w:r>
        <w:t>Mütterlicher Obst- und Gemüseverbrauch senkt Adipositas-Risiko von 4-jährigen Kindern: ECLIPSES-Kohort</w:t>
      </w:r>
    </w:p>
    <w:p>
      <w:r>
        <w:rPr>
          <w:i/>
          <w:color w:val="666666"/>
          <w:sz w:val="18"/>
        </w:rPr>
        <w:t>Riggioni-Saborío L et al.  ·  Nutrients  ·  06.09.2026  ·  PMID 42739090</w:t>
      </w:r>
    </w:p>
    <w:p>
      <w:r>
        <w:t>Prospektive Observationsstudie an 252 Mutter-Kind-Paaren (Kohort ECLIPSES), bei der die mütterliche Ernährung in Trimestern erfasst und das Adipositas-Risiko der Kinder im Alter 4 Jahren gemessen wurde.</w:t>
      </w:r>
    </w:p>
    <w:p>
      <w:r>
        <w:rPr>
          <w:b/>
        </w:rPr>
        <w:t xml:space="preserve">Ergebnis: </w:t>
      </w:r>
      <w:r>
        <w:t>Höherer Obst- und Gemüsekonsum war mit niedrigerer Adipositas-Wahrscheinlichkeit assoziiert (OR 0,31, 95%-KI 0,13–0,74). Kommerzieller Fruchtsaft war mit erhöhter Adipositas assoziiert (OR 2,48, 95%-KI 1,06–5,78), natürlicher Saft nicht.</w:t>
      </w:r>
    </w:p>
    <w:p>
      <w:r>
        <w:rPr>
          <w:b/>
          <w:sz w:val="19"/>
        </w:rPr>
        <w:t xml:space="preserve">Übertragbarkeit: </w:t>
      </w:r>
      <w:r>
        <w:rPr>
          <w:sz w:val="19"/>
        </w:rPr>
        <w:t>Spanien (Mittelmeer-Region), aber Ernährungsempfehlungen in der Schwangerschaft sind international vergleichbar</w:t>
      </w:r>
    </w:p>
    <w:p>
      <w:r>
        <w:rPr>
          <w:color w:val="5A7D3A"/>
          <w:sz w:val="18"/>
        </w:rPr>
        <w:t>https://pubmed.ncbi.nlm.nih.gov/42739090/</w:t>
      </w:r>
    </w:p>
    <w:p>
      <w:pPr>
        <w:pStyle w:val="Heading2"/>
      </w:pPr>
      <w:r>
        <w:t>Ruhepuls ≥75 bpm als unabhängiger Marker für Insulinresistenz in der Grundversorgung</w:t>
      </w:r>
    </w:p>
    <w:p>
      <w:r>
        <w:rPr>
          <w:i/>
          <w:color w:val="666666"/>
          <w:sz w:val="18"/>
        </w:rPr>
        <w:t>Mill Ferreyra EO et al.  ·  Semergen  ·  10.09.2026  ·  PMID 42721922</w:t>
      </w:r>
    </w:p>
    <w:p>
      <w:r>
        <w:t>Querschnittsstudie an 492 Patienten in spanischen Praxen (Palafolls, Barcelona), die Ruheherzfrequenz, Körperzusammensetzung und Insulinresistenz (HOMA-IR) gemessen wurden.</w:t>
      </w:r>
    </w:p>
    <w:p>
      <w:r>
        <w:rPr>
          <w:b/>
        </w:rPr>
        <w:t xml:space="preserve">Ergebnis: </w:t>
      </w:r>
      <w:r>
        <w:t>Ruhepuls ≥75 bpm war mit höherer Adipositas, geringerer Muskelmasse und erhöhter Insulinresistenz assoziiert (OR ≈ 2,0 in allen Modellen). Hohe Muskelmasse zeigte protektiven Effekt (OR ≈ 0,4). Assoziationen blieben nach Alters- und Geschlechtsbereinigung bestehen.</w:t>
      </w:r>
    </w:p>
    <w:p>
      <w:r>
        <w:rPr>
          <w:b/>
          <w:sz w:val="19"/>
        </w:rPr>
        <w:t xml:space="preserve">Übertragbarkeit: </w:t>
      </w:r>
      <w:r>
        <w:rPr>
          <w:sz w:val="19"/>
        </w:rPr>
        <w:t>Spanien, primärärztliches Versorgungssystem vergleichbar mit Deutschland</w:t>
      </w:r>
    </w:p>
    <w:p>
      <w:r>
        <w:rPr>
          <w:color w:val="5A7D3A"/>
          <w:sz w:val="18"/>
        </w:rPr>
        <w:t>https://pubmed.ncbi.nlm.nih.gov/42721922/</w:t>
      </w:r>
    </w:p>
    <w:p>
      <w:pPr>
        <w:pStyle w:val="Heading1"/>
      </w:pPr>
      <w:r>
        <w:t>Aufgenommen am 26.09.2026</w:t>
      </w:r>
    </w:p>
    <w:p>
      <w:pPr>
        <w:pStyle w:val="Heading2"/>
      </w:pPr>
      <w:r>
        <w:t>Medicaid-Erstattung für GLP-1-Rezeptoragonisten verdoppelt Nutzung ohne Substitution von Diabetes-Präparaten</w:t>
      </w:r>
    </w:p>
    <w:p>
      <w:r>
        <w:rPr>
          <w:i/>
          <w:color w:val="666666"/>
          <w:sz w:val="18"/>
        </w:rPr>
        <w:t>Khanna R et al.  ·  JAMA Health Forum  ·  04.09.2026  ·  PMID 42789287</w:t>
      </w:r>
    </w:p>
    <w:p>
      <w:r>
        <w:t>Analyse der Auswirkungen der Medicaid-Leistung für Adipositas-GLP-1-Rezeptoragonisten auf die Gesamtnutzung zwischen 2021 und 2024 in den USA.</w:t>
      </w:r>
    </w:p>
    <w:p>
      <w:r>
        <w:rPr>
          <w:b/>
        </w:rPr>
        <w:t xml:space="preserve">Ergebnis: </w:t>
      </w:r>
      <w:r>
        <w:t>Zustände, die GLP-1-Rezeptoragonisten für Adipositas erstatteten, zeigten eine mittlere Zunahme um 6,48 Verschreibungen/1000 Versicherte (95%-KI: 4,00–8,96; p&lt;0,001). Die Gesamt-GLP-1-Nutzung nahm nicht signifikant zu (4,17 [95%-KI: −0,33 bis 8,67]; p=0,07), Diabetes-GLP-1-Nutzung sank nicht (−2,16 [95%-KI: −5,27 bis 0,96]). In Staaten mit restriktiven Prior-Authorization-Anforderungen fiel die Diabetes-GLP-1-Nutzung (−3,02 [95%-KI: −5,69 bis −0,36]; p=0,03).</w:t>
      </w:r>
    </w:p>
    <w:p>
      <w:r>
        <w:rPr>
          <w:b/>
          <w:sz w:val="19"/>
        </w:rPr>
        <w:t xml:space="preserve">Übertragbarkeit: </w:t>
      </w:r>
      <w:r>
        <w:rPr>
          <w:sz w:val="19"/>
        </w:rPr>
        <w:t>USA, aber Frage der Kostenübernahme und Durchsatzeffekte liegt dem deutschen SGB-V-Ausschluss zugrunde</w:t>
      </w:r>
    </w:p>
    <w:p>
      <w:r>
        <w:rPr>
          <w:color w:val="5A7D3A"/>
          <w:sz w:val="18"/>
        </w:rPr>
        <w:t>https://pubmed.ncbi.nlm.nih.gov/42789287/</w:t>
      </w:r>
    </w:p>
    <w:p>
      <w:pPr>
        <w:pStyle w:val="Heading2"/>
      </w:pPr>
      <w:r>
        <w:t>Hohes Geburtsgewicht bleibt mit Übergewicht im Schulalter assoziiert trotz sinkendem Trend</w:t>
      </w:r>
    </w:p>
    <w:p>
      <w:r>
        <w:rPr>
          <w:i/>
          <w:color w:val="666666"/>
          <w:sz w:val="18"/>
        </w:rPr>
        <w:t>Rossi CE et al.  ·  Sao Paulo Med J  ·  21.09.2026  ·  PMID 42788534</w:t>
      </w:r>
    </w:p>
    <w:p>
      <w:r>
        <w:t>Panel-Kohortenstudie bei 4 Querschnittserhebungen (2002–2019) in Florianópolis, Brasilien, zur Assoziation zwischen Geburtsgewicht und Übergewicht/Adipositas bei Schulkindern (7–10 Jahre).</w:t>
      </w:r>
    </w:p>
    <w:p>
      <w:r>
        <w:rPr>
          <w:b/>
        </w:rPr>
        <w:t xml:space="preserve">Ergebnis: </w:t>
      </w:r>
      <w:r>
        <w:t>Niedriges Geburtsgewicht stieg um 58,3 % von 2002 bis 2018–2019; hohes Geburtsgewicht sank um 40,7 % zwischen 2002 und 2012–2013. Hohes Geburtsgewicht war durchgängig mit Übergewicht/Adipositas assoziiert (OR = 1,63 [95%-KI: 1,32–2,00]) über alle Erhebungswellen hinweg, unabhängig von Lebensmittelzufuhr und anderen Störfaktoren.</w:t>
      </w:r>
    </w:p>
    <w:p>
      <w:r>
        <w:rPr>
          <w:b/>
          <w:sz w:val="19"/>
        </w:rPr>
        <w:t xml:space="preserve">Übertragbarkeit: </w:t>
      </w:r>
      <w:r>
        <w:rPr>
          <w:sz w:val="19"/>
        </w:rPr>
        <w:t>Südamerika, aber frühe Lebensphasenforschung und fetale Programmierung grundsätzlich übertragbar</w:t>
      </w:r>
    </w:p>
    <w:p>
      <w:r>
        <w:rPr>
          <w:color w:val="5A7D3A"/>
          <w:sz w:val="18"/>
        </w:rPr>
        <w:t>https://pubmed.ncbi.nlm.nih.gov/42788534/</w:t>
      </w:r>
    </w:p>
    <w:p>
      <w:pPr>
        <w:pStyle w:val="Heading2"/>
      </w:pPr>
      <w:r>
        <w:t>Laparoskopische Roux-en-Y-Bypass verkürzt Krankenhausverweilsdauer um 0,97 Tage gegenüber offener Chirurgie</w:t>
      </w:r>
    </w:p>
    <w:p>
      <w:r>
        <w:rPr>
          <w:i/>
          <w:color w:val="666666"/>
          <w:sz w:val="18"/>
        </w:rPr>
        <w:t>Bookobza TL et al.  ·  Arq Bras Cir Dig  ·  18.09.2026  ·  PMID 42788531</w:t>
      </w:r>
    </w:p>
    <w:p>
      <w:r>
        <w:t>Vergleichende Kohortenstudie bei Patienten mit Adipositas, die sich einem Roux-en-Y-Magenbypass entweder laparoskopisch oder offen unterzogen, zur Krankenhausverweilsdauer.</w:t>
      </w:r>
    </w:p>
    <w:p>
      <w:r>
        <w:rPr>
          <w:b/>
        </w:rPr>
        <w:t xml:space="preserve">Ergebnis: </w:t>
      </w:r>
      <w:r>
        <w:t>Patienten mit laparoskopischer Roux-en-Y-Gastroplastik blieben durchschnittlich 2,45 Tage hospitalisiert (SD=1,12), gegenüber 3,42 Tagen (SD=1,17) bei offenem Zugang (p&lt;0,05). Dies ist statistisch und klinisch signifikant und hat finanzielle Auswirkungen durch verkürzte Bettenauslastung und reduzierte Hospitalisierungskosten.</w:t>
      </w:r>
    </w:p>
    <w:p>
      <w:r>
        <w:rPr>
          <w:b/>
          <w:sz w:val="19"/>
        </w:rPr>
        <w:t xml:space="preserve">Übertragbarkeit: </w:t>
      </w:r>
      <w:r>
        <w:rPr>
          <w:sz w:val="19"/>
        </w:rPr>
        <w:t>Brasilien, aber OP-Technik und Kostenwirkung in Gesundheitssystemen vergleichbar</w:t>
      </w:r>
    </w:p>
    <w:p>
      <w:r>
        <w:rPr>
          <w:color w:val="5A7D3A"/>
          <w:sz w:val="18"/>
        </w:rPr>
        <w:t>https://pubmed.ncbi.nlm.nih.gov/42788531/</w:t>
      </w:r>
    </w:p>
    <w:p>
      <w:pPr>
        <w:pStyle w:val="Heading2"/>
      </w:pPr>
      <w:r>
        <w:t>Mahlzeiten-Auslassen verdreifacht Übergewichtsrisiko bei brasilianischen Adoleszenten</w:t>
      </w:r>
    </w:p>
    <w:p>
      <w:r>
        <w:rPr>
          <w:i/>
          <w:color w:val="666666"/>
          <w:sz w:val="18"/>
        </w:rPr>
        <w:t>Santos FBD et al.  ·  Cien Saude Colet  ·  21.09.2026  ·  PMID 42788505</w:t>
      </w:r>
    </w:p>
    <w:p>
      <w:r>
        <w:t>Querschnittstudie bei 382 Schulkindern aus öffentlichen Schulen in Rio de Janeiro zum Zusammenhang zwischen Mahlzeiten-Auslassen, Mahlzeiten-Ersetzen und Übergewicht/Adipositas.</w:t>
      </w:r>
    </w:p>
    <w:p>
      <w:r>
        <w:rPr>
          <w:b/>
        </w:rPr>
        <w:t xml:space="preserve">Ergebnis: </w:t>
      </w:r>
      <w:r>
        <w:t>Jungen, die Abendessen ausließen, hatten eine 3,13-fach höhere Wahrscheinlichkeit für Übergewicht (95%-KI: 1,06–9,21); Mädchen, die Frühstück ausließen, eine 2,20-fach höhere Wahrscheinlichkeit (95%-KI: 1,10–4,41). Keine Assoziation zwischen Ersetzen von Mahlzeiten und Übergewicht gefunden.</w:t>
      </w:r>
    </w:p>
    <w:p>
      <w:r>
        <w:rPr>
          <w:b/>
          <w:sz w:val="19"/>
        </w:rPr>
        <w:t xml:space="preserve">Übertragbarkeit: </w:t>
      </w:r>
      <w:r>
        <w:rPr>
          <w:sz w:val="19"/>
        </w:rPr>
        <w:t>Brasilien, aber Verhaltensmuster bei Adoleszenten und Mahlzeitenmuster grundsätzlich übertragbar</w:t>
      </w:r>
    </w:p>
    <w:p>
      <w:r>
        <w:rPr>
          <w:color w:val="5A7D3A"/>
          <w:sz w:val="18"/>
        </w:rPr>
        <w:t>https://pubmed.ncbi.nlm.nih.gov/42788505/</w:t>
      </w:r>
    </w:p>
    <w:p>
      <w:pPr>
        <w:pStyle w:val="Heading2"/>
      </w:pPr>
      <w:r>
        <w:t>Schulbasierte Adipositasprävention in Europa: Umsetzungshindernisse und Abdeckung in 14 Ländern</w:t>
      </w:r>
    </w:p>
    <w:p>
      <w:r>
        <w:rPr>
          <w:i/>
          <w:color w:val="666666"/>
          <w:sz w:val="18"/>
        </w:rPr>
        <w:t>Rallis I et al.  ·  Front Public Health  ·  10.09.2026  ·  PMID 42787437</w:t>
      </w:r>
    </w:p>
    <w:p>
      <w:r>
        <w:t>Analyse von Umfang, finanziellen Grenzen und Ergebnissen schulbasierter und komplementärer Adipositaspräventionsprogramme für Kinder und Jugendliche in 14 europäischen Ländern.</w:t>
      </w:r>
    </w:p>
    <w:p>
      <w:r>
        <w:rPr>
          <w:b/>
        </w:rPr>
        <w:t xml:space="preserve">Ergebnis: </w:t>
      </w:r>
      <w:r>
        <w:t>Die Hauptlimitationen bestehender Interventionsprogramme sind unzureichende Penetrationstiefe und Skalierungsprobleme; es fehlt ein strukturiertes Framework zur Bewertung dieser Policies innerhalb eines Multi-Actor-, Context-Aware-Ansatzes in Europa. Die Analyse deckt Abdeckung, finanzielle Limitationen und strukturelle sowie pädagogische Systemgrenzen auf.</w:t>
      </w:r>
    </w:p>
    <w:p>
      <w:r>
        <w:rPr>
          <w:b/>
          <w:sz w:val="19"/>
        </w:rPr>
        <w:t xml:space="preserve">Übertragbarkeit: </w:t>
      </w:r>
      <w:r>
        <w:rPr>
          <w:sz w:val="19"/>
        </w:rPr>
        <w:t>Europäische Vergleichsstudie, direkt auf deutsche Politikgestaltung anwendbar</w:t>
      </w:r>
    </w:p>
    <w:p>
      <w:r>
        <w:rPr>
          <w:color w:val="5A7D3A"/>
          <w:sz w:val="18"/>
        </w:rPr>
        <w:t>https://pubmed.ncbi.nlm.nih.gov/42787437/</w:t>
      </w:r>
    </w:p>
    <w:p>
      <w:pPr>
        <w:pStyle w:val="Heading2"/>
      </w:pPr>
      <w:r>
        <w:t>Sarkopenische Adipositas erhöht Inkontinenz-Risiko bei älteren Frauen um 80 Prozent</w:t>
      </w:r>
    </w:p>
    <w:p>
      <w:r>
        <w:rPr>
          <w:i/>
          <w:color w:val="666666"/>
          <w:sz w:val="18"/>
        </w:rPr>
        <w:t>Deveci NÖ et al.  ·  Geriatr Gerontol Int  ·  Okt. 2026  ·  PMID 42786931</w:t>
      </w:r>
    </w:p>
    <w:p>
      <w:r>
        <w:t>Querschnittstudie bei 535 Frauen ≥60 Jahren aus der Gemeinde zur Prävalenz von Urininkontinenz in Abhängigkeit von Sarcopenia und sarkopenischer Adipositas sowie Assoziationen mit anderen geriatrischen Syndromen.</w:t>
      </w:r>
    </w:p>
    <w:p>
      <w:r>
        <w:rPr>
          <w:b/>
        </w:rPr>
        <w:t xml:space="preserve">Ergebnis: </w:t>
      </w:r>
      <w:r>
        <w:t>Urininkontinenz wurde von 49,9 % berichtet. Frauen mit Inkontinenz hatten höheren BMI, häufigere Stürze, mehr Gebrechlichkeit und depressive Symptome. In multivariablen Modellen waren Sturzanamnese (adjustierte OR 2,05 [95%-KI: 1,38–3,02]), SARC-F-Score (aOR 1,12 [1,02–1,22]) und BMI-definierte sarkopenische Adipositas (aOR 1,80 [1,09–2,96]) unabhängige Prädiktoren der Urininkontinenz.</w:t>
      </w:r>
    </w:p>
    <w:p>
      <w:r>
        <w:rPr>
          <w:b/>
          <w:sz w:val="19"/>
        </w:rPr>
        <w:t xml:space="preserve">Übertragbarkeit: </w:t>
      </w:r>
      <w:r>
        <w:rPr>
          <w:sz w:val="19"/>
        </w:rPr>
        <w:t>Türkei, aber geriatrische Multimorbidität und Funktionsfähigkeit in Europa vergleichbar</w:t>
      </w:r>
    </w:p>
    <w:p>
      <w:r>
        <w:rPr>
          <w:color w:val="5A7D3A"/>
          <w:sz w:val="18"/>
        </w:rPr>
        <w:t>https://pubmed.ncbi.nlm.nih.gov/42786931/</w:t>
      </w:r>
    </w:p>
    <w:p>
      <w:pPr>
        <w:pStyle w:val="Heading1"/>
      </w:pPr>
      <w:r>
        <w:t>Aufgenommen am 25.09.2026</w:t>
      </w:r>
    </w:p>
    <w:p>
      <w:pPr>
        <w:pStyle w:val="Heading2"/>
      </w:pPr>
      <w:r>
        <w:t>Adipositas in Mexiko: Strukturelle Treiber und Grenzen gesundheitspolitischer Reformen</w:t>
      </w:r>
    </w:p>
    <w:p>
      <w:r>
        <w:rPr>
          <w:i/>
          <w:color w:val="666666"/>
          <w:sz w:val="18"/>
        </w:rPr>
        <w:t>Browner CH et al.  ·  Glob Public Health  ·  31.12.2026  ·  PMID 42784752</w:t>
      </w:r>
    </w:p>
    <w:p>
      <w:r>
        <w:t>Qualitative Analyse der Adipositas-Epidemiologie in Mexiko und ihrer Verbindung zu Folgeerkrankungen; kritische Bewertung der Healthy Republic Plan der Präsidentin Claudia Sheinbaum als politisches Reformrahmenwerk.</w:t>
      </w:r>
    </w:p>
    <w:p>
      <w:r>
        <w:rPr>
          <w:b/>
        </w:rPr>
        <w:t xml:space="preserve">Ergebnis: </w:t>
      </w:r>
      <w:r>
        <w:t>Mexiko hat eine der höchsten Adipositas-Prävalenzen weltweit (&gt;1/3 der Kinder und Jugendlichen betroffen). Die Studie identifiziert soziohistorische, politisch-ökonomische und kulturelle Faktoren als Treiber und zeigt die Grenzen sektoraler Gesundheitspolitik ohne Strukturveränderung im Lebensmittel-Umfeld und in der Arbeitsökonomie auf. Der Plan adressiert Symptome, nicht zugrundeliegende strukturelle Determinanten.</w:t>
      </w:r>
    </w:p>
    <w:p>
      <w:r>
        <w:rPr>
          <w:b/>
          <w:sz w:val="19"/>
        </w:rPr>
        <w:t xml:space="preserve">Übertragbarkeit: </w:t>
      </w:r>
      <w:r>
        <w:rPr>
          <w:sz w:val="19"/>
        </w:rPr>
        <w:t>Mexiko – Kontext grundlegend anders; relevanter Befund: Versorgungsreformen ohne Verhältnisprävention wirken begrenzt</w:t>
      </w:r>
    </w:p>
    <w:p>
      <w:r>
        <w:rPr>
          <w:color w:val="5A7D3A"/>
          <w:sz w:val="18"/>
        </w:rPr>
        <w:t>https://pubmed.ncbi.nlm.nih.gov/42784752/</w:t>
      </w:r>
    </w:p>
    <w:p>
      <w:pPr>
        <w:pStyle w:val="Heading2"/>
      </w:pPr>
      <w:r>
        <w:t>Adipositas und Cybermobbing bei Grundschülern: Deutlich erhöhtes Risiko online</w:t>
      </w:r>
    </w:p>
    <w:p>
      <w:r>
        <w:rPr>
          <w:i/>
          <w:color w:val="666666"/>
          <w:sz w:val="18"/>
        </w:rPr>
        <w:t>Büyükşahin Y et al.  ·  Front Public Health  ·  09.09.2026  ·  PMID 42780642</w:t>
      </w:r>
    </w:p>
    <w:p>
      <w:r>
        <w:t>Türkische Querschnittsstudie an 579 Grundschülern (Klassen 1–4) zur Vorhersage von Mobbingerfahrungen durch BMI-Kategorien; logistische Regression und Korrelationsanalysen.</w:t>
      </w:r>
    </w:p>
    <w:p>
      <w:r>
        <w:rPr>
          <w:b/>
        </w:rPr>
        <w:t xml:space="preserve">Ergebnis: </w:t>
      </w:r>
      <w:r>
        <w:t>Übergewicht/Adipositas versus Normalgewicht: Cybermobbing-Risiko 1,83-fach erhöht (OR 1,83, 95%-KI 1,008–3,328, p = 0,047; Permutationstest p = 0,032). Nach Adjustierung für Geschlecht und Klasse Assoziation grenzwertig signifikant (OR 1,77, p = 0,064). Korrelation BMI mit Cybermobbing ρ = 0,092, p = 0,027. Kein signifikanter Unterschied für physisches oder soziales Mobbing.</w:t>
      </w:r>
    </w:p>
    <w:p>
      <w:r>
        <w:rPr>
          <w:b/>
          <w:sz w:val="19"/>
        </w:rPr>
        <w:t xml:space="preserve">Übertragbarkeit: </w:t>
      </w:r>
      <w:r>
        <w:rPr>
          <w:sz w:val="19"/>
        </w:rPr>
        <w:t>Europäisches, nicht deutsches System; Stigma und Zugang sind universell, aber schulische Interventionen unterscheiden sich</w:t>
      </w:r>
    </w:p>
    <w:p>
      <w:r>
        <w:rPr>
          <w:color w:val="5A7D3A"/>
          <w:sz w:val="18"/>
        </w:rPr>
        <w:t>https://pubmed.ncbi.nlm.nih.gov/42780642/</w:t>
      </w:r>
    </w:p>
    <w:p>
      <w:pPr>
        <w:pStyle w:val="Heading2"/>
      </w:pPr>
      <w:r>
        <w:t>Stuhltransplantation bei adipösen Jugendlichen: Begrenzte Wirkung und Spenderabhängigkeit</w:t>
      </w:r>
    </w:p>
    <w:p>
      <w:r>
        <w:rPr>
          <w:i/>
          <w:color w:val="666666"/>
          <w:sz w:val="18"/>
        </w:rPr>
        <w:t>Jiang X et al.  ·  Front Endocrinol (Lausanne)  ·  09.09.2026  ·  PMID 42780516</w:t>
      </w:r>
    </w:p>
    <w:p>
      <w:r>
        <w:t>Längzeitkohorte über 182 Tage an adipösen Jugendlichen (378 Proben), die Stuhltransplantation (FMT) erhielten; metagenomische Sequenzierung zur Messung der Ökosystemveränderung.</w:t>
      </w:r>
    </w:p>
    <w:p>
      <w:r>
        <w:rPr>
          <w:b/>
        </w:rPr>
        <w:t xml:space="preserve">Ergebnis: </w:t>
      </w:r>
      <w:r>
        <w:t>FMT führte nur zu transienten Verschiebungen der Gemeinschaftsstruktur. Begrenzte Spenderstamm-Besiedlung, starke Resilienz der Empfänger-Kerntaxa. Bakterien primäre Responder, Viren kurzfristig gestört, Netzwerk-Wiederherstellung partiell und spenderabhängig. Keine anhaltenden ökologischen Effekte.</w:t>
      </w:r>
    </w:p>
    <w:p>
      <w:r>
        <w:rPr>
          <w:b/>
          <w:sz w:val="19"/>
        </w:rPr>
        <w:t xml:space="preserve">Übertragbarkeit: </w:t>
      </w:r>
      <w:r>
        <w:rPr>
          <w:sz w:val="19"/>
        </w:rPr>
        <w:t>China, hypothesengenerierende Studie; Übertragbarkeit auf deutsche Versorgung unklar, derzeit keine breite Kostenübernahme</w:t>
      </w:r>
    </w:p>
    <w:p>
      <w:r>
        <w:rPr>
          <w:color w:val="5A7D3A"/>
          <w:sz w:val="18"/>
        </w:rPr>
        <w:t>https://pubmed.ncbi.nlm.nih.gov/42780516/</w:t>
      </w:r>
    </w:p>
    <w:p>
      <w:pPr>
        <w:pStyle w:val="Heading2"/>
      </w:pPr>
      <w:r>
        <w:t>Arbeitsplatzunterstützung für Stillende vermindert Adipositas-Risiko nach früher Rückkehr zur Arbeit</w:t>
      </w:r>
    </w:p>
    <w:p>
      <w:r>
        <w:rPr>
          <w:i/>
          <w:color w:val="666666"/>
          <w:sz w:val="18"/>
        </w:rPr>
        <w:t>Liu H  ·  Front Public Health  ·  09.09.2026  ·  PMID 42780412</w:t>
      </w:r>
    </w:p>
    <w:p>
      <w:r>
        <w:t>Chinesische Querschnittstudie mit 1633 Mutter-Kind-Paaren zur Assoziation von Rückkehrzeitpunkt zur Arbeit, Stillverhalten und Arbeitsplatzunterstützung mit Übergewicht/Adipositas bei Kindern 3–6 Jahren.</w:t>
      </w:r>
    </w:p>
    <w:p>
      <w:r>
        <w:rPr>
          <w:b/>
        </w:rPr>
        <w:t xml:space="preserve">Ergebnis: </w:t>
      </w:r>
      <w:r>
        <w:t>Insgesamt 458 Kinder (28,0 %) übergewichtig oder adipös. Rückkehr zu 6–15 Wochen postpartum: erhöhte Chancen (OR 1,85, 95%-KI 1,36–2,50). Rückkehr zu ≥16 Wochen: nicht signifikant (OR 1,06). Exklusives Stillen ≥6 Monate: OR 0,41 (95%-KI 0,26–0,63), Stillen 6–11 Monate: OR 0,61 (95%-KI 0,42–0,88). In explorativer Schichtanalyse: Rückkehr vor 16 Wochen assoziiert bei niedriger Arbeitsplatzunterstützung (OR 3,84, 95%-KI 2,25–6,56), nicht bei hoher (OR 1,08, p-Interaktion &lt;0,001).</w:t>
      </w:r>
    </w:p>
    <w:p>
      <w:r>
        <w:rPr>
          <w:b/>
          <w:sz w:val="19"/>
        </w:rPr>
        <w:t xml:space="preserve">Übertragbarkeit: </w:t>
      </w:r>
      <w:r>
        <w:rPr>
          <w:sz w:val="19"/>
        </w:rPr>
        <w:t>China, System nicht direkt übertragbar, aber Mechanismus (Stillen und Beruf) relevant für deutsche Elternzeitpolitik</w:t>
      </w:r>
    </w:p>
    <w:p>
      <w:r>
        <w:rPr>
          <w:color w:val="5A7D3A"/>
          <w:sz w:val="18"/>
        </w:rPr>
        <w:t>https://pubmed.ncbi.nlm.nih.gov/42780412/</w:t>
      </w:r>
    </w:p>
    <w:p>
      <w:pPr>
        <w:pStyle w:val="Heading2"/>
      </w:pPr>
      <w:r>
        <w:t>Metabolische Nebenwirkungen von Antipsychotika bei Kindern: Geschlechtsspezifische Risiken in Schweden</w:t>
      </w:r>
    </w:p>
    <w:p>
      <w:r>
        <w:rPr>
          <w:i/>
          <w:color w:val="666666"/>
          <w:sz w:val="18"/>
        </w:rPr>
        <w:t>Kimland EE et al.  ·  Pharmacoepidemiol Drug Saf  ·  Okt. 2026  ·  PMID 42770521</w:t>
      </w:r>
    </w:p>
    <w:p>
      <w:r>
        <w:t>Schwedische Registerstudie zu Adipositas und metabolischen Nebenwirkungen bei 5441 Kindern und Jugendlichen (5–17 Jahre) unter antipsychotischer Erstbehandlung zwischen 2014 und 2021.</w:t>
      </w:r>
    </w:p>
    <w:p>
      <w:r>
        <w:rPr>
          <w:b/>
        </w:rPr>
        <w:t xml:space="preserve">Ergebnis: </w:t>
      </w:r>
      <w:r>
        <w:t>Von 5441 Neunutzern entwickelten 399 (7,3 %) metabolische Nebenwirkungen, davon 69 % Adipositas. Risiko für Mädchen deutlich erhöht: Aripiprazol HR 3,52 (95%-KI 1,58–7,80), Olanzapin HR 6,99 (95%-KI 2,34–20,93), Quetiapin HR 4,87 (95%-KI 1,97–12,04) versus Risperidon. Bei Jungen signifikant erhöht nur für Aripiprazol (HR 2,21, 95%-KI 1,37–3,56). Jüngere Mädchen hatten höhere Risiken.</w:t>
      </w:r>
    </w:p>
    <w:p>
      <w:r>
        <w:rPr>
          <w:b/>
          <w:sz w:val="19"/>
        </w:rPr>
        <w:t xml:space="preserve">Übertragbarkeit: </w:t>
      </w:r>
      <w:r>
        <w:rPr>
          <w:sz w:val="19"/>
        </w:rPr>
        <w:t>Schweden, vergleichbares Gesundheitssystem und Dokumentation wie Deutschland</w:t>
      </w:r>
    </w:p>
    <w:p>
      <w:r>
        <w:rPr>
          <w:color w:val="5A7D3A"/>
          <w:sz w:val="18"/>
        </w:rPr>
        <w:t>https://pubmed.ncbi.nlm.nih.gov/42770521/</w:t>
      </w:r>
    </w:p>
    <w:p>
      <w:pPr>
        <w:pStyle w:val="Heading2"/>
      </w:pPr>
      <w:r>
        <w:t>Oxidiertes HDL und Adipositas: Frühe Marker für kardiovaskuläres Risiko</w:t>
      </w:r>
    </w:p>
    <w:p>
      <w:r>
        <w:rPr>
          <w:i/>
          <w:color w:val="666666"/>
          <w:sz w:val="18"/>
        </w:rPr>
        <w:t>Sasko B et al.  ·  Int J Mol Sci  ·  24.08.2026  ·  PMID 42737473</w:t>
      </w:r>
    </w:p>
    <w:p>
      <w:r>
        <w:t>Deutsche und internationale Kohortenstudie an 1227 Patienten mit Verdacht auf koronare Herzerkrankung zur Assoziation von BMI und oxidiertem HDL (HDLox) als Entzündungsmarker über das Adipositasspektrum.</w:t>
      </w:r>
    </w:p>
    <w:p>
      <w:r>
        <w:rPr>
          <w:b/>
        </w:rPr>
        <w:t xml:space="preserve">Ergebnis: </w:t>
      </w:r>
      <w:r>
        <w:t>HDLox-Spiegel signifikant höher bei Übergewicht und Adipositas versus Normalgewicht (p = 0,002 bzw. p &lt; 0,001). Nicht-linearer Anstieg von Normalgewicht zu Adipositas Klasse I (BMI 30–34,9), dann Plateau. Im Gesamtkollektiv: BMI korreliert schwach aber signifikant mit HDLox (β = 0,064, p = 0,024); im eingeengten BMI-Bereich (15–35) stärker (β = 0,158, p &lt; 0,001). HDL-Oxidation zeigt frühe Dysfunktion unter Gewichtszunahme an.</w:t>
      </w:r>
    </w:p>
    <w:p>
      <w:r>
        <w:rPr>
          <w:b/>
          <w:sz w:val="19"/>
        </w:rPr>
        <w:t xml:space="preserve">Übertragbarkeit: </w:t>
      </w:r>
      <w:r>
        <w:rPr>
          <w:sz w:val="19"/>
        </w:rPr>
        <w:t>Deutsche Klinikdaten, etablierte HDL-Messverfahren, kardiovaskulärer Risikomarker</w:t>
      </w:r>
    </w:p>
    <w:p>
      <w:r>
        <w:rPr>
          <w:color w:val="5A7D3A"/>
          <w:sz w:val="18"/>
        </w:rPr>
        <w:t>https://pubmed.ncbi.nlm.nih.gov/42737473/</w:t>
      </w:r>
    </w:p>
    <w:p>
      <w:pPr>
        <w:pStyle w:val="Heading1"/>
      </w:pPr>
      <w:r>
        <w:t>Aufgenommen am 24.09.2026</w:t>
      </w:r>
    </w:p>
    <w:p>
      <w:pPr>
        <w:pStyle w:val="Heading2"/>
      </w:pPr>
      <w:r>
        <w:t>Adipositas nach Erdbeben: Frauenanteil 35,5%, Prävention in Containersiedlungen möglich</w:t>
      </w:r>
    </w:p>
    <w:p>
      <w:r>
        <w:rPr>
          <w:i/>
          <w:color w:val="666666"/>
          <w:sz w:val="18"/>
        </w:rPr>
        <w:t>Kurt O et al.  ·  BMJ Open  ·  23.09.2026  ·  PMID 42778259</w:t>
      </w:r>
    </w:p>
    <w:p>
      <w:r>
        <w:t>Querschnittstudie in Containersiedelungen nach dem Erdbeben 2023 in der Türkei (Juni–Oktober 2025, 24–32 Monate später) mit 563 Erwachsenen zur Erfassung unabhängiger Adipositas-Einflussfaktoren.</w:t>
      </w:r>
    </w:p>
    <w:p>
      <w:r>
        <w:rPr>
          <w:b/>
        </w:rPr>
        <w:t xml:space="preserve">Ergebnis: </w:t>
      </w:r>
      <w:r>
        <w:t>Adipositasprävalenz 28,8% (Standardisierung auf gleiche Geschlechtsverteilung: 24,4%), deutlich höher bei Frauen als Männern (35,5% vs. 13,5%). Unabhängig assoziiert: weibliches Geschlecht (AOR 3,46), Alter ≥55 Jahre (AOR 2,44), schnelles Essen (AOR 2,28), Übergewicht in der Kindheit (AOR 1,93), chronische Erkrankung (AOR 1,85), niedriges Haushaltseinkommen (AOR 1,73). Unterschiede zwischen Siedlungen (18,8–66,7%, p&lt;0,001) zeigen relevante Umgebungseffekte.</w:t>
      </w:r>
    </w:p>
    <w:p>
      <w:r>
        <w:rPr>
          <w:b/>
          <w:sz w:val="19"/>
        </w:rPr>
        <w:t xml:space="preserve">Übertragbarkeit: </w:t>
      </w:r>
      <w:r>
        <w:rPr>
          <w:sz w:val="19"/>
        </w:rPr>
        <w:t>Türkei, vergleichbare ressourcenbegrenzte Gesundheitssysteme, Vulnerable Populationen</w:t>
      </w:r>
    </w:p>
    <w:p>
      <w:r>
        <w:rPr>
          <w:color w:val="5A7D3A"/>
          <w:sz w:val="18"/>
        </w:rPr>
        <w:t>https://pubmed.ncbi.nlm.nih.gov/42778259/</w:t>
      </w:r>
    </w:p>
    <w:p>
      <w:pPr>
        <w:pStyle w:val="Heading2"/>
      </w:pPr>
      <w:r>
        <w:t>Adipositaschirurgie bei MASLD: Fibroseregression und Reduktion von HCC-Inzidenz belegt</w:t>
      </w:r>
    </w:p>
    <w:p>
      <w:r>
        <w:rPr>
          <w:i/>
          <w:color w:val="666666"/>
          <w:sz w:val="18"/>
        </w:rPr>
        <w:t>Tuffs C et al.  ·  Z Gastroenterol  ·  23.09.2026  ·  PMID 42777698</w:t>
      </w:r>
    </w:p>
    <w:p>
      <w:r>
        <w:t>Narrative Übersichtsarbeit zur metabolischen und bariatrischen Chirurgie (MBS) bei metabolischer Dysfunktion-assoziierter steatotischer Lebererkrankung (MASLD): Synthese von Evidenz zu klinischen Outcomes, Wirksamkeit und Mechanismen mit Fokus auf Folgeerkrankungen.</w:t>
      </w:r>
    </w:p>
    <w:p>
      <w:r>
        <w:rPr>
          <w:b/>
        </w:rPr>
        <w:t xml:space="preserve">Ergebnis: </w:t>
      </w:r>
      <w:r>
        <w:t>Histologie-basierte Studien zeigen MASLD-Remission und relevante Fibroseregression nach MBS mit anhaltenden Effekten. Vergleichende Studien belegen Überlegenheit gegenüber Lebensstilintervention und konservativer Therapie; direkte Vergleiche mit modernen Medikamenten (z. B. GLP-1-Agonisten) sind begrenzt. Neue Erkenntnisse deuten auf weniger Leberkomplikationen und niedrigere HCC-Inzidenz nach MBS hin. MBS wirkt nicht nur durch Gewichtsverlust, sondern durch multiple metabolische Effekte (Hepatische Lipidmetabolismus, Mitochondrienfunktion, Glukosemetabolismus, Inkretin- und Gallensäure-Signaling, Adipokinobiologie, Gut-Leber-Achse).</w:t>
      </w:r>
    </w:p>
    <w:p>
      <w:r>
        <w:rPr>
          <w:b/>
          <w:sz w:val="19"/>
        </w:rPr>
        <w:t xml:space="preserve">Übertragbarkeit: </w:t>
      </w:r>
      <w:r>
        <w:rPr>
          <w:sz w:val="19"/>
        </w:rPr>
        <w:t>Deutschland, Universitätsklinik Gießen, Adipositaschirurgie Regelversorgung, Kostenübernahme durch Einzelfallprüfung</w:t>
      </w:r>
    </w:p>
    <w:p>
      <w:r>
        <w:rPr>
          <w:color w:val="5A7D3A"/>
          <w:sz w:val="18"/>
        </w:rPr>
        <w:t>https://pubmed.ncbi.nlm.nih.gov/42777698/</w:t>
      </w:r>
    </w:p>
    <w:p>
      <w:pPr>
        <w:pStyle w:val="Heading2"/>
      </w:pPr>
      <w:r>
        <w:t>Lebensstiländerungen erhöhen regelmäßige Menstruation bei PCOS um 303%, senken Glucose und Insulin</w:t>
      </w:r>
    </w:p>
    <w:p>
      <w:r>
        <w:rPr>
          <w:i/>
          <w:color w:val="666666"/>
          <w:sz w:val="18"/>
        </w:rPr>
        <w:t>Olalere O et al.  ·  PLoS Med  ·  23.09.2026  ·  PMID 42776991</w:t>
      </w:r>
    </w:p>
    <w:p>
      <w:r>
        <w:t>Systematische Übersicht und Metaanalyse von 34 RCTs mit 1.871 Frauen zum Vergleich von Lebensstiländerungen versus minimale oder keine Behandlung bei Polyendokrinem Metabolischem Ovarialsyndrom (PMOS).</w:t>
      </w:r>
    </w:p>
    <w:p>
      <w:r>
        <w:rPr>
          <w:b/>
        </w:rPr>
        <w:t xml:space="preserve">Ergebnis: </w:t>
      </w:r>
      <w:r>
        <w:t>Frauen mit Lebensstiländerungen zeigten höhere Chancen für regelmäßige Menstruationszyklen (OR 4,03, 95% CI 1,16–14,05). Reduktion der Taillenumfang (MD −2,38 cm, 95% CI −4,68 bis −0,08), Nüchternglukose (MD −0,13 mmol/L, 95% CI −0,25 bis −0,02) und Nüchterninsulin (MD −6,08 mU/L, 95% CI −9,86 bis −2,30) gegenüber Kontrollgruppe. Diät wirkte am stärksten auf Glukose, Bewegung auf Taillenumfang und Nüchterninsulin. Effekte größer bei Übergewicht/Adipositas.</w:t>
      </w:r>
    </w:p>
    <w:p>
      <w:r>
        <w:rPr>
          <w:b/>
          <w:sz w:val="19"/>
        </w:rPr>
        <w:t xml:space="preserve">Übertragbarkeit: </w:t>
      </w:r>
      <w:r>
        <w:rPr>
          <w:sz w:val="19"/>
        </w:rPr>
        <w:t>Internationale, gut übertragbar auf deutsches Gesundheitssystem</w:t>
      </w:r>
    </w:p>
    <w:p>
      <w:r>
        <w:rPr>
          <w:color w:val="5A7D3A"/>
          <w:sz w:val="18"/>
        </w:rPr>
        <w:t>https://pubmed.ncbi.nlm.nih.gov/42776991/</w:t>
      </w:r>
    </w:p>
    <w:p>
      <w:pPr>
        <w:pStyle w:val="Heading2"/>
      </w:pPr>
      <w:r>
        <w:t>Multikomponentige Interventionen senken Übergewicht bei Kindern wirksamer als Einzelmaßnahmen</w:t>
      </w:r>
    </w:p>
    <w:p>
      <w:r>
        <w:rPr>
          <w:i/>
          <w:color w:val="666666"/>
          <w:sz w:val="18"/>
        </w:rPr>
        <w:t>Chandiok K et al.  ·  Front Public Health  ·  08.09.2026  ·  PMID 42774859</w:t>
      </w:r>
    </w:p>
    <w:p>
      <w:r>
        <w:t>Rapid Review von 77 systematischen Übersichten zu Präventions- und Managementinterventionen bei Übergewicht und Adipositas im Kindes- und Jugendalter.</w:t>
      </w:r>
    </w:p>
    <w:p>
      <w:r>
        <w:rPr>
          <w:b/>
        </w:rPr>
        <w:t xml:space="preserve">Ergebnis: </w:t>
      </w:r>
      <w:r>
        <w:t>Multikomponentige Interventionen, die Ernährung, Bewegung und Verhaltensstrategien kombinieren, zeigten die konsistenteste Wirksamkeit bei Verbesserung anthropometrischer Outcomes. Familieneinbeziehung, schulische Durchführung und frühzeitige Intervention in der Kindheit erhöhten die Effektivität. Einzelkomponentige Interventionen zeigten begrenzte oder gemischte Effekte. Die meisten eingeschlossenen Reviews hatten niedriger bis kritisch niedriger methodischer Qualität.</w:t>
      </w:r>
    </w:p>
    <w:p>
      <w:r>
        <w:rPr>
          <w:b/>
          <w:sz w:val="19"/>
        </w:rPr>
        <w:t xml:space="preserve">Übertragbarkeit: </w:t>
      </w:r>
      <w:r>
        <w:rPr>
          <w:sz w:val="19"/>
        </w:rPr>
        <w:t>Internationale Evidenz; Implementierbarkeit in deutschen Schulen und Kitas unklar</w:t>
      </w:r>
    </w:p>
    <w:p>
      <w:r>
        <w:rPr>
          <w:color w:val="5A7D3A"/>
          <w:sz w:val="18"/>
        </w:rPr>
        <w:t>https://pubmed.ncbi.nlm.nih.gov/42774859/</w:t>
      </w:r>
    </w:p>
    <w:p>
      <w:pPr>
        <w:pStyle w:val="Heading2"/>
      </w:pPr>
      <w:r>
        <w:t>Adipositas als verkörperter und sozialer Burden: Qualitative Analyse von 23 Patienten mit realistischer Körperwahrnehmung</w:t>
      </w:r>
    </w:p>
    <w:p>
      <w:r>
        <w:rPr>
          <w:i/>
          <w:color w:val="666666"/>
          <w:sz w:val="18"/>
        </w:rPr>
        <w:t>Kurt AK et al.  ·  BMC Psychol  ·  26.08.2026  ·  PMID 42773484</w:t>
      </w:r>
    </w:p>
    <w:p>
      <w:r>
        <w:t>Qualitative interpretivist Studie mit 23 Erwachsenen einer Adipositasambulanz (Mai–August 2025) mit realistischer Körperwahrnehmung (Konkordanz zwischen gemessenem BMI und ausgewählter Silhouette), mittels 20–30 min Interviews und Thematischer Analyse nach Braun &amp; Clarke.</w:t>
      </w:r>
    </w:p>
    <w:p>
      <w:r>
        <w:rPr>
          <w:b/>
        </w:rPr>
        <w:t xml:space="preserve">Ergebnis: </w:t>
      </w:r>
      <w:r>
        <w:t>Vier übergeordnete Themen: (1) Gesundheit, Funktionsfähigkeit und tägliches Leben (Adipositas als durchdringende Belastung, die alltägliche Aktivitäten einschränkt); (2) Körperbild und emotionale Erfahrung (emotional belastend durch negative Körperwahrnehmung und soziale Stigmatisierung); (3) Erklärungsmodelle und wahrgenommene Ursachen (multifaktoriale Narrative: Lebensstil, Stress, Biologie/Medikation, Haushaltsroutinen, Food Environment); (4) Kampf um Veränderung und Lösungssuche (wiederholte Zyklen von Versuchen, Plateaus und Wiederzunahme, starker Wunsch nach professioneller Unterstützung).</w:t>
      </w:r>
    </w:p>
    <w:p>
      <w:r>
        <w:rPr>
          <w:b/>
          <w:sz w:val="19"/>
        </w:rPr>
        <w:t xml:space="preserve">Übertragbarkeit: </w:t>
      </w:r>
      <w:r>
        <w:rPr>
          <w:sz w:val="19"/>
        </w:rPr>
        <w:t>Türkei, urbaner klinischer Kontext, grundlegende Mechanismen der Versorgung</w:t>
      </w:r>
    </w:p>
    <w:p>
      <w:r>
        <w:rPr>
          <w:color w:val="5A7D3A"/>
          <w:sz w:val="18"/>
        </w:rPr>
        <w:t>https://pubmed.ncbi.nlm.nih.gov/42773484/</w:t>
      </w:r>
    </w:p>
    <w:p>
      <w:pPr>
        <w:pStyle w:val="Heading2"/>
      </w:pPr>
      <w:r>
        <w:t>Orale und Darm-Mikrobiota vor Adipositaschirurgie vorhersagen Gewichtsverlust nach Operation</w:t>
      </w:r>
    </w:p>
    <w:p>
      <w:r>
        <w:rPr>
          <w:i/>
          <w:color w:val="666666"/>
          <w:sz w:val="18"/>
        </w:rPr>
        <w:t>Alwali A et al.  ·  Clin Nutr ESPEN  ·  12.08.2026  ·  PMID 42586481</w:t>
      </w:r>
    </w:p>
    <w:p>
      <w:r>
        <w:t>Pilotstudie mit 33 Patienten unter bariatrischer Chirurgie: Erfassung von Stuhlfauna, oralem Mikrobiom, Serum und Fettgewebe präoperativ und 6 Monate postoperativ mit 16S-rRNA-Sequenzierung zur Vorhersage des Überschussgewichtsverlusts (EWL).</w:t>
      </w:r>
    </w:p>
    <w:p>
      <w:r>
        <w:rPr>
          <w:b/>
        </w:rPr>
        <w:t xml:space="preserve">Ergebnis: </w:t>
      </w:r>
      <w:r>
        <w:t>Höhere Diversität der oralen Mikrobiota präoperativ war mit stärkerem postoperativem EWL assoziiert. Stuhlfauna-Diversität stieg nach OP und korrelierte mit EWL. Erhöhte postoperative Häufigkeit von Alistipes bei besten EWL-Ergebnissen. Veillonella im Mund präoperativ positiv mit Response assoziiert. Bakterielle Profile in subkutanem Fett (nicht viszeral, nicht Serum) zeigten Assoziation mit EWL (R²=0,097, p=0,006) und BMI (R²=0,055, p=0,017).</w:t>
      </w:r>
    </w:p>
    <w:p>
      <w:r>
        <w:rPr>
          <w:b/>
          <w:sz w:val="19"/>
        </w:rPr>
        <w:t xml:space="preserve">Übertragbarkeit: </w:t>
      </w:r>
      <w:r>
        <w:rPr>
          <w:sz w:val="19"/>
        </w:rPr>
        <w:t>Deutschland, schleswig-holsteinische Universitätskliniken, vergleichbare Versorgungsstrukturen</w:t>
      </w:r>
    </w:p>
    <w:p>
      <w:r>
        <w:rPr>
          <w:color w:val="5A7D3A"/>
          <w:sz w:val="18"/>
        </w:rPr>
        <w:t>https://pubmed.ncbi.nlm.nih.gov/42586481/</w:t>
      </w:r>
    </w:p>
    <w:p>
      <w:pPr>
        <w:pStyle w:val="Heading1"/>
      </w:pPr>
      <w:r>
        <w:t>Aufgenommen am 23.09.2026</w:t>
      </w:r>
    </w:p>
    <w:p>
      <w:pPr>
        <w:pStyle w:val="Heading2"/>
      </w:pPr>
      <w:r>
        <w:t>Bariatrische Chirurgie kosteneffektiver als GLP-1-Rezeptoragonisten bei Kniearthrose mit Adipositas</w:t>
      </w:r>
    </w:p>
    <w:p>
      <w:r>
        <w:rPr>
          <w:i/>
          <w:color w:val="666666"/>
          <w:sz w:val="18"/>
        </w:rPr>
        <w:t>Gao Y et al.  ·  BMJ Open  ·  22.09.2026  ·  PMID 42772870</w:t>
      </w:r>
    </w:p>
    <w:p>
      <w:r>
        <w:t>Systematische Übersicht (n=8 Studien) zur Kosteneffektivität von Gewichtsverlustinterventionen bei Kniearthrose und Adipositas; Vergleich von Kombinationsprogrammen (Diät+Bewegung), Chirurgie und Pharmakotherapie mittels QALY und ICER.</w:t>
      </w:r>
    </w:p>
    <w:p>
      <w:r>
        <w:rPr>
          <w:b/>
        </w:rPr>
        <w:t xml:space="preserve">Ergebnis: </w:t>
      </w:r>
      <w:r>
        <w:t>Kombinierte Diät-/Bewegungsprogramme: ICER £16.915–£31.305/QALY mit QALY-Gewinn 0,05–0,16; bariatrische Chirurgie: ICER £4.361–£19.303/QALY, QALY 0,81–1,7; GLP-1-Rezeptoragonisten: ICER £32.265–£35.832/QALY. Nach UK-Schwellen (£25.000–£35.000/QALY) ist Chirurgie kosteneffektiv; Pharmakotherapie an Grenze.</w:t>
      </w:r>
    </w:p>
    <w:p>
      <w:r>
        <w:rPr>
          <w:b/>
          <w:sz w:val="19"/>
        </w:rPr>
        <w:t xml:space="preserve">Übertragbarkeit: </w:t>
      </w:r>
      <w:r>
        <w:rPr>
          <w:sz w:val="19"/>
        </w:rPr>
        <w:t>UK-Schwellenwerte; Übertragbarkeit auf Deutschland eingeschränkt (GLP-1 dort nicht erstattet, Erstattungswege für Chirurgie unterschiedlich)</w:t>
      </w:r>
    </w:p>
    <w:p>
      <w:r>
        <w:rPr>
          <w:color w:val="5A7D3A"/>
          <w:sz w:val="18"/>
        </w:rPr>
        <w:t>https://pubmed.ncbi.nlm.nih.gov/42772870/</w:t>
      </w:r>
    </w:p>
    <w:p>
      <w:pPr>
        <w:pStyle w:val="Heading2"/>
      </w:pPr>
      <w:r>
        <w:t>Konsistente moderate Gewichtsabnahme bei Kindern prognostiziert langfristige Therapieerfolge besser als rapide Abnahme</w:t>
      </w:r>
    </w:p>
    <w:p>
      <w:r>
        <w:rPr>
          <w:i/>
          <w:color w:val="666666"/>
          <w:sz w:val="18"/>
        </w:rPr>
        <w:t>Saelens BE et al.  ·  Pediatr Obes  ·  Sept. 2026  ·  PMID 42770536</w:t>
      </w:r>
    </w:p>
    <w:p>
      <w:r>
        <w:t>Latenklassen-Analyse (N=294 Kinder, 7–11 Jahre) mit BMI-Verlauf während und nach Adipositasbehandlung (Verhaltensintervention); Identifikation von drei Gewichtsverlauf-Mustern und deren Vorhersage für BMI z-Score nach 1-Jahres-Nachverfolgung.</w:t>
      </w:r>
    </w:p>
    <w:p>
      <w:r>
        <w:rPr>
          <w:b/>
        </w:rPr>
        <w:t xml:space="preserve">Ergebnis: </w:t>
      </w:r>
      <w:r>
        <w:t>Drei Klassen: schnelle Abnahme dann stabil (6%), konsistent moderate Abnahme (43%), moderate abnehmend (51%). Konsistent moderate Gewichtsabnahme zeigte stabilste Ergebnisse im Follow-up (BMI z-Score-Anstieg minimal vs. Anstieg in anderen Gruppen, p=0,017). Rapide initial Gewichtsabnahme nicht mit besseren Langzeitergebnissen assoziiert.</w:t>
      </w:r>
    </w:p>
    <w:p>
      <w:r>
        <w:rPr>
          <w:b/>
          <w:sz w:val="19"/>
        </w:rPr>
        <w:t xml:space="preserve">Übertragbarkeit: </w:t>
      </w:r>
      <w:r>
        <w:rPr>
          <w:sz w:val="19"/>
        </w:rPr>
        <w:t>USA, generalisierbar für verhaltensbasierte Interventionen in Kinder-Adipositasprogrammen</w:t>
      </w:r>
    </w:p>
    <w:p>
      <w:r>
        <w:rPr>
          <w:color w:val="5A7D3A"/>
          <w:sz w:val="18"/>
        </w:rPr>
        <w:t>https://pubmed.ncbi.nlm.nih.gov/42770536/</w:t>
      </w:r>
    </w:p>
    <w:p>
      <w:pPr>
        <w:pStyle w:val="Heading2"/>
      </w:pPr>
      <w:r>
        <w:t>Strukturierte Familienunterstützung (Co-Fam) bei Adipositas von Kindern: Versorgungsmodell mit Implementationsprüfung</w:t>
      </w:r>
    </w:p>
    <w:p>
      <w:r>
        <w:rPr>
          <w:i/>
          <w:color w:val="666666"/>
          <w:sz w:val="18"/>
        </w:rPr>
        <w:t>Berdman I et al.  ·  BMC Public Health  ·  21.09.2026  ·  PMID 42768347</w:t>
      </w:r>
    </w:p>
    <w:p>
      <w:r>
        <w:t>Randomisierte Hybrid-Studie in Schweden zum Vergleich eines strukturierten 12-Monate-Programms (More and Less) mit Standardversorgung bei adipösen Kindern (6–12 Jahre); Primäre Ergebnis: BMI z-Score und Übergewichts-/Adipositasprävalenz nach 3 und 12 Monaten; sekundär: elterliche Fütterungspraktiken, körperliche Aktivität und Implementierungstreue.</w:t>
      </w:r>
    </w:p>
    <w:p>
      <w:r>
        <w:rPr>
          <w:b/>
        </w:rPr>
        <w:t xml:space="preserve">Ergebnis: </w:t>
      </w:r>
      <w:r>
        <w:t>Studienprotokoll; Ergebnisse noch ausstehend. Erwartung: Effektivitäts- und Implementierungsdaten werden die Skalierbarkeit des integrierten Modells (Schulprogramm + Primärversorgung) informieren.</w:t>
      </w:r>
    </w:p>
    <w:p>
      <w:r>
        <w:rPr>
          <w:b/>
          <w:sz w:val="19"/>
        </w:rPr>
        <w:t xml:space="preserve">Übertragbarkeit: </w:t>
      </w:r>
      <w:r>
        <w:rPr>
          <w:sz w:val="19"/>
        </w:rPr>
        <w:t>Schweden, vergleichbar strukturiertes Gesundheitssystem mit schulischer Gesundheitsüberwachung</w:t>
      </w:r>
    </w:p>
    <w:p>
      <w:r>
        <w:rPr>
          <w:color w:val="5A7D3A"/>
          <w:sz w:val="18"/>
        </w:rPr>
        <w:t>https://pubmed.ncbi.nlm.nih.gov/42768347/</w:t>
      </w:r>
    </w:p>
    <w:p>
      <w:pPr>
        <w:pStyle w:val="Heading2"/>
      </w:pPr>
      <w:r>
        <w:t>GLP-1-Rezeptoragonisten (Dulaglutid, Semaglutid) senken HbA1c und Gewicht in afroamerikanischer Bevölkerung</w:t>
      </w:r>
    </w:p>
    <w:p>
      <w:r>
        <w:rPr>
          <w:i/>
          <w:color w:val="666666"/>
          <w:sz w:val="18"/>
        </w:rPr>
        <w:t>Deas C et al.  ·  J Health Care Poor Underserved  ·  2026  ·  PMID 42766517</w:t>
      </w:r>
    </w:p>
    <w:p>
      <w:r>
        <w:t>Retrospektive Kohortenstudie (N=91 Patienten, 85,7% afroamerikanisch) zu realen Effekten von Dulaglutid und Semaglutid auf HbA1c und Gewicht über durchschnittlich 14,9 Monate; Vergleich von Dosisgruppen.</w:t>
      </w:r>
    </w:p>
    <w:p>
      <w:r>
        <w:rPr>
          <w:b/>
        </w:rPr>
        <w:t xml:space="preserve">Ergebnis: </w:t>
      </w:r>
      <w:r>
        <w:t>HbA1c-Reduktion um 2,39% (p&lt;0,001); Gewichtsabnahme 4,76 kg (p&lt;0,001). Hochdosis-Dulaglutid signifikant stärkere HbA1c-Senkung als Niedrigdosis (p=0,023). Ergebnis dokumentiert Wirksamkeit in unterrepräsentierter Population, aber ohne Vergleichsgruppe und ohne Daten zu Folgeerkrankungen.</w:t>
      </w:r>
    </w:p>
    <w:p>
      <w:r>
        <w:rPr>
          <w:b/>
          <w:sz w:val="19"/>
        </w:rPr>
        <w:t xml:space="preserve">Übertragbarkeit: </w:t>
      </w:r>
      <w:r>
        <w:rPr>
          <w:sz w:val="19"/>
        </w:rPr>
        <w:t>USA; Übertragbarkeit zu Wirksamkeit begrenzt – in Deutschland Paragraf 34 SGB V schließt GLP-1 von Kostenübernahme aus</w:t>
      </w:r>
    </w:p>
    <w:p>
      <w:r>
        <w:rPr>
          <w:color w:val="5A7D3A"/>
          <w:sz w:val="18"/>
        </w:rPr>
        <w:t>https://pubmed.ncbi.nlm.nih.gov/42766517/</w:t>
      </w:r>
    </w:p>
    <w:p>
      <w:pPr>
        <w:pStyle w:val="Heading2"/>
      </w:pPr>
      <w:r>
        <w:t>Höherer BMI mit besserer Tumorregression bei Ösophaguskarzinom – Paradox aus deutschem Registeranalyse</w:t>
      </w:r>
    </w:p>
    <w:p>
      <w:r>
        <w:rPr>
          <w:i/>
          <w:color w:val="666666"/>
          <w:sz w:val="18"/>
        </w:rPr>
        <w:t>Otto SD et al.  ·  Cancer Med  ·  Sept. 2026  ·  PMID 42760794</w:t>
      </w:r>
    </w:p>
    <w:p>
      <w:r>
        <w:t>Prospektive Registeranalyse (DGAV, N=647 Patienten mit Ösophaguskarzinom) zur Assoziation zwischen BMI und histopathologischem Tumorreggressionsgrad nach neoadjuvanter Therapie; Hazard Ratios adjustiert für klinische und Tumorcharakteristika.</w:t>
      </w:r>
    </w:p>
    <w:p>
      <w:r>
        <w:rPr>
          <w:b/>
        </w:rPr>
        <w:t xml:space="preserve">Ergebnis: </w:t>
      </w:r>
      <w:r>
        <w:t>Unerwartet: höherer BMI mit vermindertem Risiko für höhere Becker-Grade (≥2: OR 0,97 per BMI-Einheit, p=0,04; ≥3: OR 0,93, p&lt;0,001). Keine Assoziation für Übergang zu Grad ≥1b. Autoren deuten auf unterschiedliche Tumorkobiologie hin, warnen aber vor Kausalitätsinterpretation.</w:t>
      </w:r>
    </w:p>
    <w:p>
      <w:r>
        <w:rPr>
          <w:b/>
          <w:sz w:val="19"/>
        </w:rPr>
        <w:t xml:space="preserve">Übertragbarkeit: </w:t>
      </w:r>
      <w:r>
        <w:rPr>
          <w:sz w:val="19"/>
        </w:rPr>
        <w:t>Deutsche Klinikdaten (DGAV-Register); hohe Übertragbarkeit auf deutsches Gesundheitssystem</w:t>
      </w:r>
    </w:p>
    <w:p>
      <w:r>
        <w:rPr>
          <w:color w:val="5A7D3A"/>
          <w:sz w:val="18"/>
        </w:rPr>
        <w:t>https://pubmed.ncbi.nlm.nih.gov/42760794/</w:t>
      </w:r>
    </w:p>
    <w:p>
      <w:pPr>
        <w:pStyle w:val="Heading1"/>
      </w:pPr>
      <w:r>
        <w:t>Aufgenommen am 22.09.2026</w:t>
      </w:r>
    </w:p>
    <w:p>
      <w:pPr>
        <w:pStyle w:val="Heading2"/>
      </w:pPr>
      <w:r>
        <w:t>Lipoödem wird häufig als Adipositas fehlklassifiziert – phänotypbasierte Versorgung nötig</w:t>
      </w:r>
    </w:p>
    <w:p>
      <w:r>
        <w:rPr>
          <w:i/>
          <w:color w:val="666666"/>
          <w:sz w:val="18"/>
        </w:rPr>
        <w:t>Varghese RT et al.  ·  Clin Obes  ·  Okt. 2026  ·  PMID 42767624</w:t>
      </w:r>
    </w:p>
    <w:p>
      <w:r>
        <w:t>Narrative Übersichtsarbeit zur Abgrenzung von Lipoödem (schmerzhafte, disproportionale Extremitätenfettverteilung) von generalisierter Adipositas und deren unterschiedlichen metabolischen Profilen.</w:t>
      </w:r>
    </w:p>
    <w:p>
      <w:r>
        <w:rPr>
          <w:b/>
        </w:rPr>
        <w:t xml:space="preserve">Ergebnis: </w:t>
      </w:r>
      <w:r>
        <w:t>Einige Studien berichten weniger metabolische Abnormitäten bei Lipoödem als bei BMI-gematchter Adipositas, doch fehlende Standardisierung und Referralverzerrung erschweren sichere Schlüsse. Kardiovaskuläre Risiken sollten phänotypbasiert bewertet werden – nicht allein durch BMI, sondern mit Waist-to-Height-Ratio, Körperzusammensetzung und zentralem Fett. GLP-1-RA bleiben bei etablierten Indikationen angezeigt.</w:t>
      </w:r>
    </w:p>
    <w:p>
      <w:r>
        <w:rPr>
          <w:b/>
          <w:sz w:val="19"/>
        </w:rPr>
        <w:t xml:space="preserve">Übertragbarkeit: </w:t>
      </w:r>
      <w:r>
        <w:rPr>
          <w:sz w:val="19"/>
        </w:rPr>
        <w:t>Deutschsprachige Literatur integriert, klinisch relevant für Versorgungsgerechtigkeit.</w:t>
      </w:r>
    </w:p>
    <w:p>
      <w:r>
        <w:rPr>
          <w:color w:val="5A7D3A"/>
          <w:sz w:val="18"/>
        </w:rPr>
        <w:t>https://pubmed.ncbi.nlm.nih.gov/42767624/</w:t>
      </w:r>
    </w:p>
    <w:p>
      <w:pPr>
        <w:pStyle w:val="Heading2"/>
      </w:pPr>
      <w:r>
        <w:t>GLP-1-Rezeptoragonisten senken Dekompensation und Mortalität bei älteren Patienten mit MASLD</w:t>
      </w:r>
    </w:p>
    <w:p>
      <w:r>
        <w:rPr>
          <w:i/>
          <w:color w:val="666666"/>
          <w:sz w:val="18"/>
        </w:rPr>
        <w:t>Koutouratsas T et al.  ·  Age Ageing  ·  04.09.2026  ·  PMID 42765724</w:t>
      </w:r>
    </w:p>
    <w:p>
      <w:r>
        <w:t>Retrospektive Kohortenstudie mit 43.930 Patienten ≥65 Jahren mit metabolisch-assoziierter Fettlebererkrankung (MASLD), die GLP-1-Rezeptoragonisten initiierten vs. unbehandelt; Follow-up bis 10 Jahre.</w:t>
      </w:r>
    </w:p>
    <w:p>
      <w:r>
        <w:rPr>
          <w:b/>
        </w:rPr>
        <w:t xml:space="preserve">Ergebnis: </w:t>
      </w:r>
      <w:r>
        <w:t>GLP-1-RA-Nutzer zeigten niedrigere Hazard Ratios für hepatische Dekompensation (HR 0,72, 95%-KI 0,66–0,79), Mortalität (HR 0,55, 0,52–0,58) und Krankenhausaufenthalte (HR 0,95, 0,93–0,97). MACE zeigte keine Reduktion (HR 0,98, 0,92–1,04). Häufigere gastrointestinale Ereignisse und Retinopathie wurden beobachtet.</w:t>
      </w:r>
    </w:p>
    <w:p>
      <w:r>
        <w:rPr>
          <w:b/>
          <w:sz w:val="19"/>
        </w:rPr>
        <w:t xml:space="preserve">Übertragbarkeit: </w:t>
      </w:r>
      <w:r>
        <w:rPr>
          <w:sz w:val="19"/>
        </w:rPr>
        <w:t>USA-Daten, andere Kostenübernahmeregelungen als Deutschland; Sicherheitssignale aber übertragbar.</w:t>
      </w:r>
    </w:p>
    <w:p>
      <w:r>
        <w:rPr>
          <w:color w:val="5A7D3A"/>
          <w:sz w:val="18"/>
        </w:rPr>
        <w:t>https://pubmed.ncbi.nlm.nih.gov/42765724/</w:t>
      </w:r>
    </w:p>
    <w:p>
      <w:pPr>
        <w:pStyle w:val="Heading2"/>
      </w:pPr>
      <w:r>
        <w:t>Soziale Fragmentierung im Wohngebiet assoziiert mit Übergewicht bei Mädchen – Querschnitt Porto</w:t>
      </w:r>
    </w:p>
    <w:p>
      <w:r>
        <w:rPr>
          <w:i/>
          <w:color w:val="666666"/>
          <w:sz w:val="18"/>
        </w:rPr>
        <w:t>Lourenço AC et al.  ·  Am J Hum Biol  ·  Sept. 2026  ·  PMID 42764604</w:t>
      </w:r>
    </w:p>
    <w:p>
      <w:r>
        <w:t>Querschnittstudie bei 832 Kindern (3–10 Jahre) in Porto zu Nachbarschafts-Sozialer-Fragmentierung (aus 2021-Zensus) und exzessivem Körpergewicht.</w:t>
      </w:r>
    </w:p>
    <w:p>
      <w:r>
        <w:rPr>
          <w:b/>
        </w:rPr>
        <w:t xml:space="preserve">Ergebnis: </w:t>
      </w:r>
      <w:r>
        <w:t>Keine Assoziation bei Jungen. Bei Mädchen: Die am wenigsten fragmentierten Nachbarschaften zeigten niedrigere Odds für Übergewicht vs. am meisten fragmentierte (OR 0,55, 95%-KI 0,32–0,94, p=0,030). Geschlechtsspezifische Unterschiede deuten auf unterschiedliche soziale und/oder Umgebungsmechanismen hin.</w:t>
      </w:r>
    </w:p>
    <w:p>
      <w:r>
        <w:rPr>
          <w:b/>
          <w:sz w:val="19"/>
        </w:rPr>
        <w:t xml:space="preserve">Übertragbarkeit: </w:t>
      </w:r>
      <w:r>
        <w:rPr>
          <w:sz w:val="19"/>
        </w:rPr>
        <w:t>Portugal, Zensusdaten vergleichbar mit deutschem Statistiksystem; relevant für Neighbourhood-Health-Forschung in DACH.</w:t>
      </w:r>
    </w:p>
    <w:p>
      <w:r>
        <w:rPr>
          <w:color w:val="5A7D3A"/>
          <w:sz w:val="18"/>
        </w:rPr>
        <w:t>https://pubmed.ncbi.nlm.nih.gov/42764604/</w:t>
      </w:r>
    </w:p>
    <w:p>
      <w:pPr>
        <w:pStyle w:val="Heading2"/>
      </w:pPr>
      <w:r>
        <w:t>Beta-Hydroxy-Beta-Methylbutyrat-Supplement erhöhte Muskelmasse nicht signifikant bei sarkopenischer Adipositas</w:t>
      </w:r>
    </w:p>
    <w:p>
      <w:r>
        <w:rPr>
          <w:i/>
          <w:color w:val="666666"/>
          <w:sz w:val="18"/>
        </w:rPr>
        <w:t>Fraenkel E et al.  ·  Orv Hetil  ·  20.09.2026  ·  PMID 42763880</w:t>
      </w:r>
    </w:p>
    <w:p>
      <w:r>
        <w:t>Querschnittstudie (n=48, 55–84 Jahre) mit 6-Monats-Follow-up zu HMB-haltigem Diabetes-spezifischem Nahrungsergänzungsmittel bei Patienten mit Typ-2-Diabetes, sarkopenischer Adipositas und MASLD.</w:t>
      </w:r>
    </w:p>
    <w:p>
      <w:r>
        <w:rPr>
          <w:b/>
        </w:rPr>
        <w:t xml:space="preserve">Ergebnis: </w:t>
      </w:r>
      <w:r>
        <w:t>28 von 48 Patienten zeigten Muskelmasse-Zunahme; 16 davon ≤5%, 8 &gt;5%, 4 &gt;10% des Ausgangswerts. 20 Patienten hatten Abnahmen ≤5%. Muskelmaßveränderungen erreichten keine statistische Signifikanz. Höheres Alter (OR 0,87, p=0,04) und höhere Triglyzeride (OR 0,21, p=0,05) waren negative Prädiktoren. Kleine Fallzahl, fehlende Signifikanz trotz Trend.</w:t>
      </w:r>
    </w:p>
    <w:p>
      <w:r>
        <w:rPr>
          <w:b/>
          <w:sz w:val="19"/>
        </w:rPr>
        <w:t xml:space="preserve">Übertragbarkeit: </w:t>
      </w:r>
      <w:r>
        <w:rPr>
          <w:sz w:val="19"/>
        </w:rPr>
        <w:t>Ungarn/Slowakei, kleine Kohorte; begrenzte Übertragbarkeit auf deutsche Routineversorgung.</w:t>
      </w:r>
    </w:p>
    <w:p>
      <w:r>
        <w:rPr>
          <w:color w:val="5A7D3A"/>
          <w:sz w:val="18"/>
        </w:rPr>
        <w:t>https://pubmed.ncbi.nlm.nih.gov/42763880/</w:t>
      </w:r>
    </w:p>
    <w:p>
      <w:pPr>
        <w:pStyle w:val="Heading2"/>
      </w:pPr>
      <w:r>
        <w:t>Metabolisches Syndrom-Inzidenz in Südxinjiang: 32,06 pro 1000 Personenjahre, höher bei Männern</w:t>
      </w:r>
    </w:p>
    <w:p>
      <w:r>
        <w:rPr>
          <w:i/>
          <w:color w:val="666666"/>
          <w:sz w:val="18"/>
        </w:rPr>
        <w:t>Gu SJ et al.  ·  Zhonghua Liu Xing Bing Xue Za Zhi  ·  10.09.2026  ·  PMID 42763190</w:t>
      </w:r>
    </w:p>
    <w:p>
      <w:r>
        <w:t>Prospektive ländliche Kohortenstudie (n=12.813, 2016–2024) in Südxinjiang mit Latenter-Klassen-Analyse und Cox-Regressionen zu Metabolischem Syndrom (MS).</w:t>
      </w:r>
    </w:p>
    <w:p>
      <w:r>
        <w:rPr>
          <w:b/>
        </w:rPr>
        <w:t xml:space="preserve">Ergebnis: </w:t>
      </w:r>
      <w:r>
        <w:t>MS-Inzidenz 32,06/1000 Personenjahre; Männer 37,25, Frauen 27,89/1000 PJ. Unabhängige Risikofaktoren: Alter &gt;30 Jahre, Übergewicht/Adipositas, abnormales LDL-C, abnormale Gamma-Glutamyl-Transferase, high-TG–high-waist-circumference-Phänotyp, hypertension–high-waist-circumference-Phänotyp (alle HR&gt;1,00, p&lt;0,05). 31–60 Jahre: höchste Risikokonzentration. Sekundarschulbildung senkte Risiko. Geschlechts- und Altersspezifische Unterschiede in Risikofaktoren.</w:t>
      </w:r>
    </w:p>
    <w:p>
      <w:r>
        <w:rPr>
          <w:b/>
          <w:sz w:val="19"/>
        </w:rPr>
        <w:t xml:space="preserve">Übertragbarkeit: </w:t>
      </w:r>
      <w:r>
        <w:rPr>
          <w:sz w:val="19"/>
        </w:rPr>
        <w:t>China, aber Präventions- und Screening-Framework auf Hochrisiko-Populationen in Deutschland übertragbar.</w:t>
      </w:r>
    </w:p>
    <w:p>
      <w:r>
        <w:rPr>
          <w:color w:val="5A7D3A"/>
          <w:sz w:val="18"/>
        </w:rPr>
        <w:t>https://pubmed.ncbi.nlm.nih.gov/42763190/</w:t>
      </w:r>
    </w:p>
    <w:p>
      <w:pPr>
        <w:pStyle w:val="Heading2"/>
      </w:pPr>
      <w:r>
        <w:t>Polygene Risikoscores und Adipositas erhöhen Progression von Typ-2-Diabetes zu Darmkrebs-Komorbiditäten</w:t>
      </w:r>
    </w:p>
    <w:p>
      <w:r>
        <w:rPr>
          <w:i/>
          <w:color w:val="666666"/>
          <w:sz w:val="18"/>
        </w:rPr>
        <w:t>Liu B et al.  ·  BMC Cancer  ·  20.08.2026  ·  PMID 42754861</w:t>
      </w:r>
    </w:p>
    <w:p>
      <w:r>
        <w:t>Chinesische Populationsstudie (n=805, vier Gruppen) mit genetischen Daten zu T2D-Darmkrebs-Komorbiditäten, Polygene Risikoscores (PRS) und BMI-Wechselwirkungen.</w:t>
      </w:r>
    </w:p>
    <w:p>
      <w:r>
        <w:rPr>
          <w:b/>
        </w:rPr>
        <w:t xml:space="preserve">Ergebnis: </w:t>
      </w:r>
      <w:r>
        <w:t>T2D-CRC-Komorbiditäts-Gruppe hatte höhere PRS für beide Erkrankungen als Kontrollen. T2D-PRS: Borderline-Assoziation mit isoliertem Darmkrebs-Risiko (OR 1,24, p=0,046). BMI modifizierte die Assoziation zwischen CRC-genetischer Last und Risiko signifikant (OR 1,75, 95%-KI 1,27–2,34; p=0,033), stärker in Übergewichtigen. Transitionsrisiko von T2D zu Komorbiditäten mit erhöhter CRC-genetischer Last (HR 1,21, p=0,037).</w:t>
      </w:r>
    </w:p>
    <w:p>
      <w:r>
        <w:rPr>
          <w:b/>
          <w:sz w:val="19"/>
        </w:rPr>
        <w:t xml:space="preserve">Übertragbarkeit: </w:t>
      </w:r>
      <w:r>
        <w:rPr>
          <w:sz w:val="19"/>
        </w:rPr>
        <w:t>China, aber genetisch vergleichbare Populationen; epidemiologisches Konzept auf DACH übertragbar.</w:t>
      </w:r>
    </w:p>
    <w:p>
      <w:r>
        <w:rPr>
          <w:color w:val="5A7D3A"/>
          <w:sz w:val="18"/>
        </w:rPr>
        <w:t>https://pubmed.ncbi.nlm.nih.gov/42754861/</w:t>
      </w:r>
    </w:p>
    <w:p>
      <w:pPr>
        <w:pStyle w:val="Heading2"/>
      </w:pPr>
      <w:r>
        <w:t>Genetische Varianten für Antipsychotika-induzierte Gewichtszunahme: Systematische Übersicht von 53 Studien</w:t>
      </w:r>
    </w:p>
    <w:p>
      <w:r>
        <w:rPr>
          <w:i/>
          <w:color w:val="666666"/>
          <w:sz w:val="18"/>
        </w:rPr>
        <w:t>Kronenbuerger M et al.  ·  Schizophr Res  ·  21.07.2026  ·  PMID 42480244</w:t>
      </w:r>
    </w:p>
    <w:p>
      <w:r>
        <w:t>Systematische Übersicht (PRISMA) von 2018–2026 zu Polymorphismen und epigenetischen Markern, die mit Antipsychotika-induzierter Gewichtszunahme (AIWG) assoziiert sind.</w:t>
      </w:r>
    </w:p>
    <w:p>
      <w:r>
        <w:rPr>
          <w:b/>
        </w:rPr>
        <w:t xml:space="preserve">Ergebnis: </w:t>
      </w:r>
      <w:r>
        <w:t>DRD2, HTR2C, MC4R wurden in Kandidaten-Gen-Studien am konsistentesten repliziert. Genome-wide association studies identifizierten novel associations (MAP2K1, ZDBF2, PEPD). Kein einzelner genetischer Marker ist klinisch anwendungsreif; Multi-Omics und Mehrahnenstudien sind notwendig. 53 eingeschlossene Studien, begrenzte Replikation und methodische Heterogenität.</w:t>
      </w:r>
    </w:p>
    <w:p>
      <w:r>
        <w:rPr>
          <w:b/>
          <w:sz w:val="19"/>
        </w:rPr>
        <w:t xml:space="preserve">Übertragbarkeit: </w:t>
      </w:r>
      <w:r>
        <w:rPr>
          <w:sz w:val="19"/>
        </w:rPr>
        <w:t>Psychiatrische Versorgung in Deutschland betroffen; keine direkten Handlungsempfehlungen für Praxis, aber relevant für Risikoprävention.</w:t>
      </w:r>
    </w:p>
    <w:p>
      <w:r>
        <w:rPr>
          <w:color w:val="5A7D3A"/>
          <w:sz w:val="18"/>
        </w:rPr>
        <w:t>https://pubmed.ncbi.nlm.nih.gov/42480244/</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Henderson GV et al.  ·  Nutrients  ·  29.08.2026  ·  PMID 42739011</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https://pubmed.ncbi.nlm.nih.gov/42739011/</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Studienprotokoll aus der spanischen Kinder-Primärversorgung</w:t>
      </w:r>
    </w:p>
    <w:p>
      <w:r>
        <w:rPr>
          <w:i/>
          <w:color w:val="666666"/>
          <w:sz w:val="18"/>
        </w:rPr>
        <w:t>Ciriza-Barea E et al.  ·  Rev Esp Salud Publica  ·  03.09.2026  ·  PMID 42690077</w:t>
      </w:r>
    </w:p>
    <w:p>
      <w:r>
        <w:t>Protokoll einer multizentrischen Querschnittstudie des spanischen Forschungsnetzes PAPenRed (Kinder-Primärversorgung) zum Zusammenhang zwischen Naturverbundenheit und Adipositas, Asthma, Entwicklungs-, psychischen und Schlafstörungen sowie Lebensqualität bei 7- bis 14-Jährigen.</w:t>
      </w:r>
    </w:p>
    <w:p>
      <w:r>
        <w:rPr>
          <w:b/>
        </w:rPr>
        <w:t xml:space="preserve">Ergebnis: </w:t>
      </w:r>
      <w:r>
        <w:t>Studienprotokoll, noch keine Ergebnisse. Erhebung über zwölf Monate (Juli 2025 bis Juni 2026) bei Vorsorgeuntersuchungen mit drei parallelen Fragebögen für Kind, Eltern und Kinderarzt.</w:t>
      </w:r>
    </w:p>
    <w:p>
      <w:r>
        <w:rPr>
          <w:b/>
          <w:sz w:val="19"/>
        </w:rPr>
        <w:t xml:space="preserve">Übertragbarkeit: </w:t>
      </w:r>
      <w:r>
        <w:rPr>
          <w:sz w:val="19"/>
        </w:rPr>
        <w:t>Spanien, pädiatrische Primärversorgung; noch keine Ergebnisse</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2026-10-22T06:00:00Z</dcterms:created>
  <dcterms:modified xsi:type="dcterms:W3CDTF">2026-10-22T06:00:00Z</dcterms:modified>
  <cp:category/>
</cp:coreProperties>
</file>