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Adipositas</w:t>
      </w:r>
    </w:p>
    <w:p>
      <w:r>
        <w:rPr>
          <w:i/>
          <w:color w:val="666666"/>
          <w:sz w:val="18"/>
        </w:rPr>
        <w:t>Stand: 05.10.2026  |  6 Studien  |  adipositas.m-vf.de</w:t>
      </w:r>
    </w:p>
    <w:p>
      <w:pPr>
        <w:pStyle w:val="Heading1"/>
      </w:pPr>
      <w:r>
        <w:t>Aufgenommen am 05.10.2026</w:t>
      </w:r>
    </w:p>
    <w:p>
      <w:pPr>
        <w:pStyle w:val="Heading2"/>
      </w:pPr>
      <w:r>
        <w:t>BMI-Anforderungen für Organtransplantation in USA: Drei Staaten mit Ausschlusskriterium, 32 unklar</w:t>
      </w:r>
    </w:p>
    <w:p>
      <w:r>
        <w:rPr>
          <w:i/>
          <w:color w:val="666666"/>
          <w:sz w:val="18"/>
        </w:rPr>
        <w:t>Klitenic SB et al.  ·  Clin Transplant  ·  Okt. 2026  ·  PMID 42829945</w:t>
      </w:r>
    </w:p>
    <w:p>
      <w:r>
        <w:t>Ein Review aller 50 US-Bundesstaaten identifizierte, ob Medicaid explizite BMI-Grenzen für die Kostenübernahme von Herz-, Lungen-, Leber-, Nieren-, Pankreas- oder Dünndarmtransplantationen haben.</w:t>
      </w:r>
    </w:p>
    <w:p>
      <w:r>
        <w:rPr>
          <w:b/>
        </w:rPr>
        <w:t xml:space="preserve">Ergebnis: </w:t>
      </w:r>
      <w:r>
        <w:t>Nur drei Staaten (Hawaii, Iowa, North Carolina) hatten restriktive BMI-Vorgaben – allein für Herz, Lunge und kombinierte Transplantationen. 32 Staaten und DC hatten teils restriktive Richtlinien; 15 hatten keine. Kriterien stammten meist von Managed-Care-Organisationen, nicht von staatlicher Regulierung. Keine Beschränkung für Nieren-, Leber- oder Pankreas-Transplantation.</w:t>
      </w:r>
    </w:p>
    <w:p>
      <w:r>
        <w:rPr>
          <w:b/>
          <w:sz w:val="19"/>
        </w:rPr>
        <w:t xml:space="preserve">Übertragbarkeit: </w:t>
      </w:r>
      <w:r>
        <w:rPr>
          <w:sz w:val="19"/>
        </w:rPr>
        <w:t>USA, Medicaid-System nicht mit deutschem SGB V vergleichbar; Erstattungsfragen jedoch relevant</w:t>
      </w:r>
    </w:p>
    <w:p>
      <w:r>
        <w:rPr>
          <w:color w:val="5A7D3A"/>
          <w:sz w:val="18"/>
        </w:rPr>
        <w:t>https://pubmed.ncbi.nlm.nih.gov/42829945/</w:t>
      </w:r>
    </w:p>
    <w:p>
      <w:pPr>
        <w:pStyle w:val="Heading2"/>
      </w:pPr>
      <w:r>
        <w:t>GLP-1-Rezeptoragonisten senken 90-Tage-Mortalität nach Sepsis um 19 % gegenüber SGLT2-Inhibitoren</w:t>
      </w:r>
    </w:p>
    <w:p>
      <w:r>
        <w:rPr>
          <w:i/>
          <w:color w:val="666666"/>
          <w:sz w:val="18"/>
        </w:rPr>
        <w:t>Liu HH et al.  ·  Drug Des Devel Ther  ·  29.09.2026  ·  PMID 42829714</w:t>
      </w:r>
    </w:p>
    <w:p>
      <w:r>
        <w:t>Eine retrospektive Kohortenanalyse von 11.969 Patienten pro Gruppe mit Typ-2-Diabetes, die vor Sepsisaufnahme entweder GLP-1-Rezeptoragonisten oder SGLT2-Inhibitoren erhielten, verglich klinische Ergebnisse.</w:t>
      </w:r>
    </w:p>
    <w:p>
      <w:r>
        <w:rPr>
          <w:b/>
        </w:rPr>
        <w:t xml:space="preserve">Ergebnis: </w:t>
      </w:r>
      <w:r>
        <w:t>Unter GLP-1-RA-Exposition betrug die 90-Tage-Mortalität 48,6 pro 100 Personenjahre vs. 60,6 unter SGLT2i (Hazard Ratio 0,81; 95%-KI 0,75–0,88). Auch schwerwiegende kardiovaskuläre Ereignisse waren seltener (HR 0,77). Die Effekte waren bei Subgruppenanalysen konsistent, doch der E-Wert (1,6) und Baselineunterschiede deuten auf residuelle Verwirrung hin.</w:t>
      </w:r>
    </w:p>
    <w:p>
      <w:r>
        <w:rPr>
          <w:b/>
          <w:sz w:val="19"/>
        </w:rPr>
        <w:t xml:space="preserve">Übertragbarkeit: </w:t>
      </w:r>
      <w:r>
        <w:rPr>
          <w:sz w:val="19"/>
        </w:rPr>
        <w:t>USA, TriNetX-Netzwerk; Aussage über Arzneimittelvorteil bei Sepsis ist systemübergreifend relevant, aber Kostenumdefinition in Deutschland andere</w:t>
      </w:r>
    </w:p>
    <w:p>
      <w:r>
        <w:rPr>
          <w:color w:val="5A7D3A"/>
          <w:sz w:val="18"/>
        </w:rPr>
        <w:t>https://pubmed.ncbi.nlm.nih.gov/42829714/</w:t>
      </w:r>
    </w:p>
    <w:p>
      <w:pPr>
        <w:pStyle w:val="Heading2"/>
      </w:pPr>
      <w:r>
        <w:t>Nachtschichten bei Pflegekräften: 6,7-fach höheres Metabolisches-Syndrom-Risiko bei ≥4 Schichten/Monat</w:t>
      </w:r>
    </w:p>
    <w:p>
      <w:r>
        <w:rPr>
          <w:i/>
          <w:color w:val="666666"/>
          <w:sz w:val="18"/>
        </w:rPr>
        <w:t>Yang Y et al.  ·  Front Public Health  ·  18.09.2026  ·  PMID 42827874</w:t>
      </w:r>
    </w:p>
    <w:p>
      <w:r>
        <w:t>Eine Querschnittsstudie von 719 Gesundheitsbeschäftigten in China untersuchte, ob Nachtschichthäufigkeit das Metabolische Syndrom (MetS) über Stress und Schlafqualität vorhersagt.</w:t>
      </w:r>
    </w:p>
    <w:p>
      <w:r>
        <w:rPr>
          <w:b/>
        </w:rPr>
        <w:t xml:space="preserve">Ergebnis: </w:t>
      </w:r>
      <w:r>
        <w:t>Von 719 Fachkräften hatten 124 (17,2 %) MetS. Bei ≥4 Nachtschichten pro Monat war die bereinigte Odds Ratio 6,65 (95%-KI 2,56–17,28) gegenüber 0 Schichten. Die indirekte Assoziation über beruflichen Stress betrug 27,7 % der Gesamtassoziation und war bei schlechterer Schlafqualität stärker. Dies deutet auf einen therapeutischen Ansatzpunkt hin.</w:t>
      </w:r>
    </w:p>
    <w:p>
      <w:r>
        <w:rPr>
          <w:b/>
          <w:sz w:val="19"/>
        </w:rPr>
        <w:t xml:space="preserve">Übertragbarkeit: </w:t>
      </w:r>
      <w:r>
        <w:rPr>
          <w:sz w:val="19"/>
        </w:rPr>
        <w:t>China, aber berufliche Arbeitsbedingungen in der Pflege sind systemübergreifend ähnlich</w:t>
      </w:r>
    </w:p>
    <w:p>
      <w:r>
        <w:rPr>
          <w:color w:val="5A7D3A"/>
          <w:sz w:val="18"/>
        </w:rPr>
        <w:t>https://pubmed.ncbi.nlm.nih.gov/42827874/</w:t>
      </w:r>
    </w:p>
    <w:p>
      <w:pPr>
        <w:pStyle w:val="Heading2"/>
      </w:pPr>
      <w:r>
        <w:t>Polnische Adipositas-Dokumentation: vier ICD-10-Serien ergeben 4,7-fachen Unterschied</w:t>
      </w:r>
    </w:p>
    <w:p>
      <w:r>
        <w:rPr>
          <w:i/>
          <w:color w:val="666666"/>
          <w:sz w:val="18"/>
        </w:rPr>
        <w:t>Poboży M et al.  ·  Front Public Health  ·  18.09.2026  ·  PMID 42827465</w:t>
      </w:r>
    </w:p>
    <w:p>
      <w:r>
        <w:t>Eine Auditierung der polnischen National Health Fund-Daten von 2015–2025 zeigte, dass dieselbe ICD-10-E66-Kodierung je nach analytischer Definition vier völlig unterschiedliche administrative Trajektorien liefert, was Surveillance und Politikentscheidungen erschwert.</w:t>
      </w:r>
    </w:p>
    <w:p>
      <w:r>
        <w:rPr>
          <w:b/>
        </w:rPr>
        <w:t xml:space="preserve">Ergebnis: </w:t>
      </w:r>
      <w:r>
        <w:t>Je nach Messmethode lagen 2025 zwischen 325.769 und 1.534.022 Personen mit Adipositas in den Datenreihen vor; die jährliche prozentuale Veränderung reichte von 10,5 bis 14,5 %. Während 2020 die Morbidität nur um 3,5 % absank, betrug der Rückgang bei Serien mit aktueller Aktivität −39,4 bis −44,3 %. Das zeigt, dass Wachstumsmeldungen nicht zwischen echter klinischer Zunahme und Veränderungen bei Erfassung, Zugang und Dokumentation unterscheiden können.</w:t>
      </w:r>
    </w:p>
    <w:p>
      <w:r>
        <w:rPr>
          <w:b/>
          <w:sz w:val="19"/>
        </w:rPr>
        <w:t xml:space="preserve">Übertragbarkeit: </w:t>
      </w:r>
      <w:r>
        <w:rPr>
          <w:sz w:val="19"/>
        </w:rPr>
        <w:t>Polen, vergleichbares Versicherungssystem, direkt auf deutsche Kodierungsprobleme übertragbar</w:t>
      </w:r>
    </w:p>
    <w:p>
      <w:r>
        <w:rPr>
          <w:color w:val="5A7D3A"/>
          <w:sz w:val="18"/>
        </w:rPr>
        <w:t>https://pubmed.ncbi.nlm.nih.gov/42827465/</w:t>
      </w:r>
    </w:p>
    <w:p>
      <w:pPr>
        <w:pStyle w:val="Heading2"/>
      </w:pPr>
      <w:r>
        <w:t>TyG-Waist-Circumference vorhersagt kardiovaskuläre Ereignisse bei älteren Landbewohnern besser als TyG-Index allein</w:t>
      </w:r>
    </w:p>
    <w:p>
      <w:r>
        <w:rPr>
          <w:i/>
          <w:color w:val="666666"/>
          <w:sz w:val="18"/>
        </w:rPr>
        <w:t>Xue Y et al.  ·  Front Endocrinol (Lausanne)  ·  30.09.2026  ·  PMID 42818901</w:t>
      </w:r>
    </w:p>
    <w:p>
      <w:r>
        <w:t>Eine 6-jährige Kohortenanalyse von 4.169 älteren Landbewohnern (≥65 Jahre) in China verglich die prädiktive Kraft von Basis-, kumulative Exposition und jährliche Änderungen des Triglyzerid-Glukose-Index und seiner Ableitungen für kardiovaskuläre Ereignisse.</w:t>
      </w:r>
    </w:p>
    <w:p>
      <w:r>
        <w:rPr>
          <w:b/>
        </w:rPr>
        <w:t xml:space="preserve">Ergebnis: </w:t>
      </w:r>
      <w:r>
        <w:t>822 kardiovaskuläre Ereignisse ereigneten sich während des Nachbeobachtung. Basis- und kumulative TyG-WC zeigten konsistent starke Assoziationen (p &lt; 0,001), mit kumulativen Maßen etwas stärker. Jährliche Mittelwertänderungen waren schwächer prädiktiv. TyG-WC zeigte über alle Nachbeobachtungszeiträume optimale prädiktive Performance; die Basis-Messung war so wertvoll wie die kumulative.</w:t>
      </w:r>
    </w:p>
    <w:p>
      <w:r>
        <w:rPr>
          <w:b/>
          <w:sz w:val="19"/>
        </w:rPr>
        <w:t xml:space="preserve">Übertragbarkeit: </w:t>
      </w:r>
      <w:r>
        <w:rPr>
          <w:sz w:val="19"/>
        </w:rPr>
        <w:t>China, aber Screening-Methodik in ländlichen Primärversorgungssettings systemübergreifend anwendbar</w:t>
      </w:r>
    </w:p>
    <w:p>
      <w:r>
        <w:rPr>
          <w:color w:val="5A7D3A"/>
          <w:sz w:val="18"/>
        </w:rPr>
        <w:t>https://pubmed.ncbi.nlm.nih.gov/42818901/</w:t>
      </w:r>
    </w:p>
    <w:p>
      <w:pPr>
        <w:pStyle w:val="Heading2"/>
      </w:pPr>
      <w:r>
        <w:t>Höheres BMI verschlechtert Lymphknotentransfer-Ergebnis um 30–50 % bei Lymphödem</w:t>
      </w:r>
    </w:p>
    <w:p>
      <w:r>
        <w:rPr>
          <w:i/>
          <w:color w:val="666666"/>
          <w:sz w:val="18"/>
        </w:rPr>
        <w:t>Kappos EA et al.  ·  J Plast Reconstr Aesthet Surg  ·  02.08.2026  ·  PMID 42594515</w:t>
      </w:r>
    </w:p>
    <w:p>
      <w:r>
        <w:t>Eine prospektive multizentrische Kohortenstudie (2016–2025) aus der Schweiz und Deutschland prüfte, ob Geschlecht, Alter und BMI die Langzeitergebnisse von Lymphgefäßanastomose oder vaskulärisiertem Lymphknotentransfer beeinflussen.</w:t>
      </w:r>
    </w:p>
    <w:p>
      <w:r>
        <w:rPr>
          <w:b/>
        </w:rPr>
        <w:t xml:space="preserve">Ergebnis: </w:t>
      </w:r>
      <w:r>
        <w:t>Bei Lymphödem der oberen Extremität war höheres BMI mit ungünstigerer Therapieantwort assoziiert (relatives Übergewichtsreduktionsmaß nach 12 und 18 Monaten signifikant erniedrigt). Männer mit Unterschenkelödem zeigten bessere Ansprechraten. Komplikationsraten unterschieden sich nicht. Präoperativer Gewichtsverlust könnte die Ergebnisse verbessern.</w:t>
      </w:r>
    </w:p>
    <w:p>
      <w:r>
        <w:rPr>
          <w:b/>
          <w:sz w:val="19"/>
        </w:rPr>
        <w:t xml:space="preserve">Übertragbarkeit: </w:t>
      </w:r>
      <w:r>
        <w:rPr>
          <w:sz w:val="19"/>
        </w:rPr>
        <w:t>Schweiz und Deutschland, direkt übertragbar auf deutsches Gesundheitssystem</w:t>
      </w:r>
    </w:p>
    <w:p>
      <w:r>
        <w:rPr>
          <w:color w:val="5A7D3A"/>
          <w:sz w:val="18"/>
        </w:rPr>
        <w:t>https://pubmed.ncbi.nlm.nih.gov/42594515/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Adipositas</dc:title>
  <dc:subject/>
  <dc:creator>Monitor Versorgungsforschung</dc:creator>
  <cp:keywords/>
  <dc:description>generated by python-docx</dc:description>
  <cp:lastModifiedBy/>
  <cp:revision>1</cp:revision>
  <dcterms:created xsi:type="dcterms:W3CDTF">2026-10-05T06:00:00Z</dcterms:created>
  <dcterms:modified xsi:type="dcterms:W3CDTF">2026-10-05T06:00:00Z</dcterms:modified>
  <cp:category/>
</cp:coreProperties>
</file>