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29.09.2026  |  6 Studien  |  adipositas.m-vf.de</w:t>
      </w:r>
    </w:p>
    <w:p>
      <w:pPr>
        <w:pStyle w:val="Heading1"/>
      </w:pPr>
      <w:r>
        <w:t>Aufgenommen am 29.09.2026</w:t>
      </w:r>
    </w:p>
    <w:p>
      <w:pPr>
        <w:pStyle w:val="Heading2"/>
      </w:pPr>
      <w:r>
        <w:t>Frühdiagnose und regelmäßige Nachsorge senken Sterblichkeit bei Adipositas-Hypoventilations-Syndrom</w:t>
      </w:r>
    </w:p>
    <w:p>
      <w:r>
        <w:rPr>
          <w:i/>
          <w:color w:val="666666"/>
          <w:sz w:val="18"/>
        </w:rPr>
        <w:t>Agossou M et al.  ·  BMJ Open Respir Res  ·  28.09.2026  ·  PMID 42805766</w:t>
      </w:r>
    </w:p>
    <w:p>
      <w:r>
        <w:t>Bei 167 Patienten mit Adipositas-Hypoventilations-Syndrom (OHS) in Martinique wurden Risikofaktoren für Sterblichkeit und der Einfluss der Versorgungskontinuität untersucht.</w:t>
      </w:r>
    </w:p>
    <w:p>
      <w:r>
        <w:rPr>
          <w:b/>
        </w:rPr>
        <w:t xml:space="preserve">Ergebnis: </w:t>
      </w:r>
      <w:r>
        <w:t>5-Jahres-Sterblichkeit: 12,6 %, Gesamtsterblichkeit (n=44, 26,4 %). Unabhängige Mortalitätsprädiktoren: OHS-Diagnose bei akutem Atemversagen (HR 6,60; 95%-KI 1,50–29,10), unregelmäßige Nachsorge (HR 5,00; 2,82–14,29), Herzerkrankung (HR 3,63; 1,51–8,70), niedriger Hämatokrit (HR 1,12 pro Punkt; 1,03–1,22) und höheres Alter (HR 1,04 pro Jahr; 1,01–1,08). Schlussfolgerung: Strukturierte Früherkennung und kontinuierliche ärztliche Betreuung sind entscheidend für die Reduktion von OHS-Mortalität.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Französische Karibik, übertragbare Nachsorge-Struktur auf europäische Systeme</w:t>
      </w:r>
    </w:p>
    <w:p>
      <w:r>
        <w:rPr>
          <w:color w:val="5A7D3A"/>
          <w:sz w:val="18"/>
        </w:rPr>
        <w:t>https://pubmed.ncbi.nlm.nih.gov/42805766/</w:t>
      </w:r>
    </w:p>
    <w:p>
      <w:pPr>
        <w:pStyle w:val="Heading2"/>
      </w:pPr>
      <w:r>
        <w:t>Strukturierte Gewichtsreduktion verminderte Abbruchquote bei Brustkrebsrisiko</w:t>
      </w:r>
    </w:p>
    <w:p>
      <w:r>
        <w:rPr>
          <w:i/>
          <w:color w:val="666666"/>
          <w:sz w:val="18"/>
        </w:rPr>
        <w:t>Clarke H et al.  ·  BMJ Open  ·  28.09.2026  ·  PMID 42805663</w:t>
      </w:r>
    </w:p>
    <w:p>
      <w:r>
        <w:t>79 % der 47 Frauen mit Adipositas und erhöhtem Brust- oder Endometriumkrebsrisiko schlossen ein 12-Monate Programm mit Totaldiäternährung (TDR) ab und zeigten messbare Gewichtsverluste und Lebensqualitätsgewinne.</w:t>
      </w:r>
    </w:p>
    <w:p>
      <w:r>
        <w:rPr>
          <w:b/>
        </w:rPr>
        <w:t xml:space="preserve">Ergebnis: </w:t>
      </w:r>
      <w:r>
        <w:t>37 von 47 Frauen (79 %) vollendeten das Programm. Gewichtsverlust betrug –10,8 kg nach 3 Monaten, –11,5 kg nach 6 Monaten und –8,4 kg nach 12 Monaten. Lebensqualität (OWL-QOL) verbesserte sich um –24,8 Punkte, Binge-Eating-Scores sanken um –4 Punkte. Mittlere Kontakte mit Diätassistentinnen: 28 pro Person über 12 Monate. 68 % erhielten psychologische Unterstützung. Zusammenfassung: TDR ermöglichte hohe Therapietreue und dauerhafte Gewichtsabnahme unter intensiver Betreuung.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UK-Sekundärversorgung, hohe Ressourcenintensität, vergleichbar mit deutschen Zentren</w:t>
      </w:r>
    </w:p>
    <w:p>
      <w:r>
        <w:rPr>
          <w:color w:val="5A7D3A"/>
          <w:sz w:val="18"/>
        </w:rPr>
        <w:t>https://pubmed.ncbi.nlm.nih.gov/42805663/</w:t>
      </w:r>
    </w:p>
    <w:p>
      <w:pPr>
        <w:pStyle w:val="Heading2"/>
      </w:pPr>
      <w:r>
        <w:t>Peer-Empfehlungen verbessern Therapietreue in digitaler Gewichtsreduktion mit Tirzepatid</w:t>
      </w:r>
    </w:p>
    <w:p>
      <w:r>
        <w:rPr>
          <w:i/>
          <w:color w:val="666666"/>
          <w:sz w:val="18"/>
        </w:rPr>
        <w:t>Talay L et al.  ·  J Med Internet Res  ·  28.09.2026  ·  PMID 42804756</w:t>
      </w:r>
    </w:p>
    <w:p>
      <w:r>
        <w:t>Retrospektive Kohortenanalyse von 34.449 erwachsenen Nutzern eines unsubventionierten, tirzepatid-gestützten digitalen Gewichtsreduktions-Services in Australien verglich Ergebnisse nach Empfehlungsweg.</w:t>
      </w:r>
    </w:p>
    <w:p>
      <w:r>
        <w:rPr>
          <w:b/>
        </w:rPr>
        <w:t xml:space="preserve">Ergebnis: </w:t>
      </w:r>
      <w:r>
        <w:t>Patienten mit Peer-Empfehlung zeigten höhere 6-Monats-Therapietreue und größeren Prozentsatz-Gewichtsverlust als propensity-score-gematchte Nicht-Empfehlung-Patienten. Schlussfolgerung: Peer-Referral-Wege unterstützen Verbleib und Effektivität in medikamentöser Adipositasbehandlung. Begrenzte Zahlenangaben im Abstract; Hauptbefund ist Adhärenz-Vorteil.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Privatversicherungs-Modell, Tirzepatid ist in Australien erstattet – in Deutschland nicht</w:t>
      </w:r>
    </w:p>
    <w:p>
      <w:r>
        <w:rPr>
          <w:color w:val="5A7D3A"/>
          <w:sz w:val="18"/>
        </w:rPr>
        <w:t>https://pubmed.ncbi.nlm.nih.gov/42804756/</w:t>
      </w:r>
    </w:p>
    <w:p>
      <w:pPr>
        <w:pStyle w:val="Heading2"/>
      </w:pPr>
      <w:r>
        <w:t>Adipositas in Südasien steigt steil – Wohlhabendere Frauen am stärksten betroffen</w:t>
      </w:r>
    </w:p>
    <w:p>
      <w:r>
        <w:rPr>
          <w:i/>
          <w:color w:val="666666"/>
          <w:sz w:val="18"/>
        </w:rPr>
        <w:t>Hendry M et al.  ·  Glob Health Action  ·  31.12.2026  ·  PMID 42802930</w:t>
      </w:r>
    </w:p>
    <w:p>
      <w:r>
        <w:t>Analyse von Bevölkerungsumfragen aus fünf südasiatischen Ländern (2000–2022, 1,56 Mio. Frauen 15–49 Jahre) zeigte stark ansteigende Adipositasprävalenzen mit besonderem Anstieg in urbanen, wohlhabenderen Bevölkerungsgruppen.</w:t>
      </w:r>
    </w:p>
    <w:p>
      <w:r>
        <w:rPr>
          <w:b/>
        </w:rPr>
        <w:t xml:space="preserve">Ergebnis: </w:t>
      </w:r>
      <w:r>
        <w:t>Adipositas-Prävalenz stieg in allen Ländern außer den Malediven, mit Spannweite von 5 % bis 37 %. Stärkster Anstieg in urbanen Gebieten (z. B. Bangladesch: 13 % auf 46 %), bei Wohlhabenden (Nepal 23 % bis Pakistan 73 %) und bei weniger gebildeten Frauen. Schlussfolgerung: Epidemiologischer Wandel zu steigender Adipositas bei Frauen im reproduktiven Alter zeigt asymmetrische soziale 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Belgien, Frankreich haben ähnliche Ungleichheits-Mechanismen</w:t>
      </w:r>
    </w:p>
    <w:p>
      <w:r>
        <w:rPr>
          <w:color w:val="5A7D3A"/>
          <w:sz w:val="18"/>
        </w:rPr>
        <w:t>https://pubmed.ncbi.nlm.nih.gov/42802930/</w:t>
      </w:r>
    </w:p>
    <w:p>
      <w:pPr>
        <w:pStyle w:val="Heading2"/>
      </w:pPr>
      <w:r>
        <w:t>Massive Wissenslücken und implizite Weight Bias bei vietnamesischen Gesundheitsarbeitern</w:t>
      </w:r>
    </w:p>
    <w:p>
      <w:r>
        <w:rPr>
          <w:i/>
          <w:color w:val="666666"/>
          <w:sz w:val="18"/>
        </w:rPr>
        <w:t>Tran TDM  ·  J ASEAN Fed Endocr Soc  ·  12.08.2026  ·  PMID 42802762</w:t>
      </w:r>
    </w:p>
    <w:p>
      <w:r>
        <w:t>Befragung von 232 Gesundheitsarbeitern zu Wissen, Einstellungen und Praxis bei der Adipositasbehandlung identifizierte erhebliche Defizite und Stigmatisierung.</w:t>
      </w:r>
    </w:p>
    <w:p>
      <w:r>
        <w:rPr>
          <w:b/>
        </w:rPr>
        <w:t xml:space="preserve">Ergebnis: </w:t>
      </w:r>
      <w:r>
        <w:t>Nur 63,8 % (95%-KI 57,3–70,3 %) erkannten Adipositas als chronische Erkrankung. Weniger als die Hälfte kannten zugelassene Pharmakotherapien. 79,7 % (75,0–84,9 %) führten Gewichtsverlust primär auf Patientenverantwortung zurück, was auf implizite Weight Bias hindeutet. Ärzte zeigten signifikant höhere Odds für unzureichende Gewichtsmanagement-Kenntnisse als sonstiges Personal (OR 4,5; 95%-KI 2,1–9,5). Ergebnis: Systematische Schulungsdefizite und Stigma blockieren eine patientengerechte Adipositasversorgung.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Vietnam, aber Befunde zur Wissenslücke relevant für Systeme ohne spezialisierte Schulung</w:t>
      </w:r>
    </w:p>
    <w:p>
      <w:r>
        <w:rPr>
          <w:color w:val="5A7D3A"/>
          <w:sz w:val="18"/>
        </w:rPr>
        <w:t>https://pubmed.ncbi.nlm.nih.gov/42802762/</w:t>
      </w:r>
    </w:p>
    <w:p>
      <w:pPr>
        <w:pStyle w:val="Heading2"/>
      </w:pPr>
      <w:r>
        <w:t>Gewichtsverlust trotz Ernährungssupport prognostiziert schlechte Ergebnisse nach Chemoradiotherapie</w:t>
      </w:r>
    </w:p>
    <w:p>
      <w:r>
        <w:rPr>
          <w:i/>
          <w:color w:val="666666"/>
          <w:sz w:val="18"/>
        </w:rPr>
        <w:t>Inamochi Y et al.  ·  Support Care Cancer  ·  28.09.2026  ·  PMID 42802279</w:t>
      </w:r>
    </w:p>
    <w:p>
      <w:r>
        <w:t>Retrospektive Studie an 105 Patienten mit fortgeschrittenem Kopf-Hals-Tumor zeigte, dass Gewichtsverlust ≥5 % zwischen Operation und Chemoradiotherapie trotz Ernährungsinterventionen ein unabhängiger Mortalitätsprädiktor war.</w:t>
      </w:r>
    </w:p>
    <w:p>
      <w:r>
        <w:rPr>
          <w:b/>
        </w:rPr>
        <w:t xml:space="preserve">Ergebnis: </w:t>
      </w:r>
      <w:r>
        <w:t>Medianer Gewichtsverlust vor Chemoradiotherapie: 4,8 %, gesamt: 7,9 %. Patienten mit Rezidiv: 6,1 % vs. ohne Rezidiv: 4,0 % (p=0,004). Patienten mit ≥5 % Gewichtsverlust vor Therapie hatten signifikant schlechtere rezidivfreie Überlebenszeit (log-rank p=0,001) und Gesamtüberleben (p&lt;0,001). In multivariater Analyse: ≥5 % Gewichtsverlust unabhängig mit schlechterem Überleben assoziiert (HR 2,54; 95%-KI 1,35–4,80). Grad ≥3 Nebenwirkungen: 81,8 % vs. 86,0 % (nicht signifikant). Schlussfolgerung: Prätherapeutischer Gewichtsverlust ist einfach messbarer prognostischer Marker.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Klinikdaten zu Onkologie-Nachsorge, strukturelle Parallelen in DACH</w:t>
      </w:r>
    </w:p>
    <w:p>
      <w:r>
        <w:rPr>
          <w:color w:val="5A7D3A"/>
          <w:sz w:val="18"/>
        </w:rPr>
        <w:t>https://pubmed.ncbi.nlm.nih.gov/42802279/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2026-09-29T06:00:00Z</dcterms:created>
  <dcterms:modified xsi:type="dcterms:W3CDTF">2026-09-29T06:00:00Z</dcterms:modified>
  <cp:category/>
</cp:coreProperties>
</file>