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19.09.2026  |  6 Studien  |  adipositas.m-vf.de</w:t>
      </w:r>
    </w:p>
    <w:p>
      <w:pPr>
        <w:pStyle w:val="Heading1"/>
      </w:pPr>
      <w:r>
        <w:t>Aufgenommen am 19.09.2026</w:t>
      </w:r>
    </w:p>
    <w:p>
      <w:pPr>
        <w:pStyle w:val="Heading2"/>
      </w:pPr>
      <w:r>
        <w:t>Ernährungs- und Reproduktionsfolgefragen nach Adipositastherapie: prospektive Kohortenstudie</w:t>
      </w:r>
    </w:p>
    <w:p>
      <w:r>
        <w:rPr>
          <w:i/>
          <w:color w:val="666666"/>
          <w:sz w:val="18"/>
        </w:rPr>
        <w:t>Schipper RM et al.  ·  BMJ Open  ·  18.09.2026  ·  PMID 42760085</w:t>
      </w:r>
    </w:p>
    <w:p>
      <w:r>
        <w:t>Prospektive Multizenterstudie zu Nährstoffstatus, Ernährung und Gesundheitsfolgen bei mindestens 1.150 Frauen unter chirurgischer oder medikamentöser Adipositastherapie über zehn Jahre, einschließlich integrierter Schwangerschafts- und Geburtenkohort.</w:t>
      </w:r>
    </w:p>
    <w:p>
      <w:r>
        <w:rPr>
          <w:b/>
        </w:rPr>
        <w:t xml:space="preserve">Ergebnis: </w:t>
      </w:r>
      <w:r>
        <w:t>Studie verfolgt präbehandlung, 3 Monate, 6 Monate und jährlich bis 10 Jahre nach Therapie. Erfasst muskuloskelettale, reproduktive, endokrine, gastrointestinale und mentale Gesundheit sowie Nährstoffstatus, Ernährung, fetale Entwicklung und Muttermilchzusammensetzung. Keine Ergebnisse verfügbar (Studienprotokoll).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strukturierte Langzeitverfolgung wie in europäischen Registern.</w:t>
      </w:r>
    </w:p>
    <w:p>
      <w:r>
        <w:rPr>
          <w:color w:val="5A7D3A"/>
          <w:sz w:val="18"/>
        </w:rPr>
        <w:t>https://pubmed.ncbi.nlm.nih.gov/42760085/</w:t>
      </w:r>
    </w:p>
    <w:p>
      <w:pPr>
        <w:pStyle w:val="Heading2"/>
      </w:pPr>
      <w:r>
        <w:t>Semaglutid bei Prader-Willi-Syndrom: Gewichtsstabilisierung und Hyperphagiereduktion über 17 Monate</w:t>
      </w:r>
    </w:p>
    <w:p>
      <w:r>
        <w:rPr>
          <w:i/>
          <w:color w:val="666666"/>
          <w:sz w:val="18"/>
        </w:rPr>
        <w:t>Ahmed S et al.  ·  Front Endocrinol (Lausanne)  ·  03.09.2026  ·  PMID 42755517</w:t>
      </w:r>
    </w:p>
    <w:p>
      <w:r>
        <w:t>Retrospektive offene Beobachtungskohort von 12 Erwachsenen mit PWS und Übergewicht/Adipositas unter Semaglutid-Behandlung (Median 17,2 Monate, Dosis bis 2,4 mg wöchentlich).</w:t>
      </w:r>
    </w:p>
    <w:p>
      <w:r>
        <w:rPr>
          <w:b/>
        </w:rPr>
        <w:t xml:space="preserve">Ergebnis: </w:t>
      </w:r>
      <w:r>
        <w:t>Kein signifikanter Gesamtgewichtsverlust, aber Stabilisierung: Post –3,1±9,9% versus Pre +5,7±5,6% (d=–0,72, p=0,037). Hyperphagia-Fragebogen sank um 7,3±6,1 (n=11, d=–1,19, p=0,003). HbA1c verbessert in erhöhten Baseline-Fällen (n=6, –4,2±4,9%, p=0,13). Gastrointestinale Nebenwirkungen bei 25%, ohne Abbruch. 75% mit T2DM.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UK-Klinik; PWS ist seltene Erkrankung, Ergebnis aber auf Hyperphagia-Kontrolle fokussiert.</w:t>
      </w:r>
    </w:p>
    <w:p>
      <w:r>
        <w:rPr>
          <w:color w:val="5A7D3A"/>
          <w:sz w:val="18"/>
        </w:rPr>
        <w:t>https://pubmed.ncbi.nlm.nih.gov/42755517/</w:t>
      </w:r>
    </w:p>
    <w:p>
      <w:pPr>
        <w:pStyle w:val="Heading2"/>
      </w:pPr>
      <w:r>
        <w:t>COVID-19-Pandemie erhöhte Übergewicht bei chinesischen Jugendlichen um 1,28-fach, normalisierte Kontrollphase reversibelnd</w:t>
      </w:r>
    </w:p>
    <w:p>
      <w:r>
        <w:rPr>
          <w:i/>
          <w:color w:val="666666"/>
          <w:sz w:val="18"/>
        </w:rPr>
        <w:t>Maitituersun Y et al.  ·  BMC Pediatr  ·  07.09.2026  ·  PMID 42754879</w:t>
      </w:r>
    </w:p>
    <w:p>
      <w:r>
        <w:t>Längsschnittstudie über fünf Jahre (2017–2021) mit 120.459 chinesischen Jugendlichen (13–18 Jahre) zu BMI-Änderungen während COVID-19-Pandemie und deren Normalisierungsphase.</w:t>
      </w:r>
    </w:p>
    <w:p>
      <w:r>
        <w:rPr>
          <w:b/>
        </w:rPr>
        <w:t xml:space="preserve">Ergebnis: </w:t>
      </w:r>
      <w:r>
        <w:t>2020: BMI +0,2 kg/m² versus Vorjahre, 2021 rückläufig. 2020: Übergewicht OR=1,280 (95% KI 1,199–1,366), Übergewicht+Adipositas OR=1,364 (95% KI 1,286–1,448) versus 2017. 2021: Adipositas-Risiko sank auf OR=1,201 (95% KI 1,131–1,275). Mädchen stärker betroffen als Jungen. Untergwicht 2020 reduziert (OR=0,668), 2021 erholt (OR=0,917).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China-Daten; zeigt populationsweite Reaktion auf Lockdown und Erholung—strukturelle Faktoren in Deutschland zu prüfen.</w:t>
      </w:r>
    </w:p>
    <w:p>
      <w:r>
        <w:rPr>
          <w:color w:val="5A7D3A"/>
          <w:sz w:val="18"/>
        </w:rPr>
        <w:t>https://pubmed.ncbi.nlm.nih.gov/42754879/</w:t>
      </w:r>
    </w:p>
    <w:p>
      <w:pPr>
        <w:pStyle w:val="Heading2"/>
      </w:pPr>
      <w:r>
        <w:t>Adipositas, nicht Hyperandrogenismus, treibt Stoffwechselstörung bei PCOS: Glukose-Insulin-Dynamik bei 71 Frauen</w:t>
      </w:r>
    </w:p>
    <w:p>
      <w:r>
        <w:rPr>
          <w:i/>
          <w:color w:val="666666"/>
          <w:sz w:val="18"/>
        </w:rPr>
        <w:t>Naderi P et al.  ·  Front Endocrinol (Lausanne)  ·  31.08.2026  ·  PMID 42741014</w:t>
      </w:r>
    </w:p>
    <w:p>
      <w:r>
        <w:t>Retrospektive Querschnittstudie zu Glukose-Insulin-Dynamik bei 71 PCOS-Frauen, stratifiziert nach BMI-Status (&lt;30, n=37 vs. ≥30, n=34) mit 3-Stunden-OGTT.</w:t>
      </w:r>
    </w:p>
    <w:p>
      <w:r>
        <w:rPr>
          <w:b/>
        </w:rPr>
        <w:t xml:space="preserve">Ergebnis: </w:t>
      </w:r>
      <w:r>
        <w:t>Adipöse Frauen älter, höhere Nüchternglukose, HbA1c nur numerisch höher. OGTT zeigte höhere Glukose/Insulin-Konzentrationen, niedrigere Insulinsensitivität (Matsuda-Index), höhere Insulinresistenz (HOMA-IR) und größere Glukoseexposition. PCOM, Rotterdam-Phänotyp, Androgene vergleichbar. BMI einziger konsistenter unabhängiger Prädiktor aller Stoffwechselparameter (p&lt;0,05).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deutsches Zentrum; zeigt Äquivalenz von BMI-zentrierter Risikostratifikation bei PCOS.</w:t>
      </w:r>
    </w:p>
    <w:p>
      <w:r>
        <w:rPr>
          <w:color w:val="5A7D3A"/>
          <w:sz w:val="18"/>
        </w:rPr>
        <w:t>https://pubmed.ncbi.nlm.nih.gov/42741014/</w:t>
      </w:r>
    </w:p>
    <w:p>
      <w:pPr>
        <w:pStyle w:val="Heading2"/>
      </w:pPr>
      <w:r>
        <w:t>Mikroernährungsstatus bei schwerer Adipositas: Vitamin- und Mineralienverarmung über das Gewichtsspektrum</w:t>
      </w:r>
    </w:p>
    <w:p>
      <w:r>
        <w:rPr>
          <w:i/>
          <w:color w:val="666666"/>
          <w:sz w:val="18"/>
        </w:rPr>
        <w:t>Sabados H et al.  ·  Nutrients  ·  07.09.2026  ·  PMID 42739110</w:t>
      </w:r>
    </w:p>
    <w:p>
      <w:r>
        <w:t>Retrospektive Einzelzentrum-Kohortenstudie mit 247 Erwachsenen (BMI 30–91 kg/m², Mittel 48,7±8,7) zur Erfassung von Vitamin-B- und Mineralstoffkonzentrationen vor bariatrischer Chirurgie.</w:t>
      </w:r>
    </w:p>
    <w:p>
      <w:r>
        <w:rPr>
          <w:b/>
        </w:rPr>
        <w:t xml:space="preserve">Ergebnis: </w:t>
      </w:r>
      <w:r>
        <w:t>Vitamin D, Folat und Vitamin B6 sanken progressiv mit zunehmend BMI. Vitamin D korrelierte invers mit HbA1c. HbA1c, Leberenzyme (ALAT, γ-GT) und Körperzusammensetzung (Taillenumfang, Viszeralfett) waren stärkste Diskriminatoren für T2DM, Steatose und hohes BMI. MASLD+T2DM zeigte stärkste B6-Verarmung; Vitamin D niedrig in allen Subgruppen.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Saarländische Klinik; Mikroernährungsdaten vor geplanter Chirurgie übertragbar.</w:t>
      </w:r>
    </w:p>
    <w:p>
      <w:r>
        <w:rPr>
          <w:color w:val="5A7D3A"/>
          <w:sz w:val="18"/>
        </w:rPr>
        <w:t>https://pubmed.ncbi.nlm.nih.gov/42739110/</w:t>
      </w:r>
    </w:p>
    <w:p>
      <w:pPr>
        <w:pStyle w:val="Heading2"/>
      </w:pPr>
      <w:r>
        <w:t>Lebensverlauf-Adipositas und Osteoporoserisiko: 357.903 UK-Biobank-Teilnehmer über 15,7 Jahre</w:t>
      </w:r>
    </w:p>
    <w:p>
      <w:r>
        <w:rPr>
          <w:i/>
          <w:color w:val="666666"/>
          <w:sz w:val="18"/>
        </w:rPr>
        <w:t>Liu H et al.  ·  Front Endocrinol (Lausanne)  ·  28.08.2026  ·  PMID 42729203</w:t>
      </w:r>
    </w:p>
    <w:p>
      <w:r>
        <w:t>Prospektive Kohortenstudie zu Assoziation zwischen Geburtsmasse, Kindheitsgewicht und Erwachsenen-BMI mit Osteoporoserisiko im UK Biobank über Median 15,7 Jahre.</w:t>
      </w:r>
    </w:p>
    <w:p>
      <w:r>
        <w:rPr>
          <w:b/>
        </w:rPr>
        <w:t xml:space="preserve">Ergebnis: </w:t>
      </w:r>
      <w:r>
        <w:t>11.905 Osteoporosefälle (3,3%, 82% Frauen). Niedriges Geburtsgewicht, dünnere Kindheit und niedriger Erwachsenen-BMI erhöht Osteoporoserisiko: Untergewicht HR=2,41; Übergewicht HR=0,63; Adipositas HR=0,50. Adult BMI stärkster unabhängiger Effekt. Mediation: Adult BMI erklärt 67,1% der Geburt- und 56,1% der Kindheitseffekte. Proteomik identifizierte 95 Mediatoren (ADIPOQ 25,6%, SOST 16,7%).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Langzeitverlauf und Risikostratifizierung vergleichbar mit europäischen Kohorten.</w:t>
      </w:r>
    </w:p>
    <w:p>
      <w:r>
        <w:rPr>
          <w:color w:val="5A7D3A"/>
          <w:sz w:val="18"/>
        </w:rPr>
        <w:t>https://pubmed.ncbi.nlm.nih.gov/42729203/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2026-09-19T06:00:00Z</dcterms:created>
  <dcterms:modified xsi:type="dcterms:W3CDTF">2026-09-19T06:00:00Z</dcterms:modified>
  <cp:category/>
</cp:coreProperties>
</file>