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28.10.2026  |  6 Studien  |  adipositas.m-vf.de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Adipositas bei Kindern und Jugendlichen: Family-based Care, Psychologie und Pharmakotherapie</w:t>
      </w:r>
    </w:p>
    <w:p>
      <w:r>
        <w:rPr>
          <w:i/>
          <w:color w:val="666666"/>
          <w:sz w:val="18"/>
        </w:rPr>
        <w:t>Oliaro T et al.  ·  Nutrients  ·  21.10.2026  ·  PMID 42943020</w:t>
      </w:r>
    </w:p>
    <w:p>
      <w:r>
        <w:t>Narrative Übersicht über integrierte Behandlungsansätze für Kinder und Jugendliche mit Adipositas, einschließlich verhaltensbasierter, psychologischer und pharmakologischer Strategien.</w:t>
      </w:r>
    </w:p>
    <w:p>
      <w:r>
        <w:rPr>
          <w:b/>
        </w:rPr>
        <w:t xml:space="preserve">Ergebnis: </w:t>
      </w:r>
      <w:r>
        <w:t>Intensive familienbasierte Multikomponenten-Therapie ist die am besten gestützte Grundlage. Psychiatrische Komorbiditäten (Binge Eating, ADHD, emotionale Symptome) beeinflussen Therapieerfolg. Anti-Adipositas-Medikamente (Semaglutid, Liraglutid) produzierten zusätzliche, aber moderate BMI-Reduktion; Gewichtsrückgang nach Absetzen teilweise. Familie und Psyche sind entscheidend.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Evidenzsynthese aus internationalen Studien, pädiatrische Therapielogik übertragbar</w:t>
      </w:r>
    </w:p>
    <w:p>
      <w:r>
        <w:rPr>
          <w:color w:val="5A7D3A"/>
          <w:sz w:val="18"/>
        </w:rPr>
        <w:t>https://pubmed.ncbi.nlm.nih.gov/42943020/</w:t>
      </w:r>
    </w:p>
    <w:p>
      <w:pPr>
        <w:pStyle w:val="Heading2"/>
      </w:pPr>
      <w:r>
        <w:t>Adipositas bei Golfländern-Kindern: Lückenhafte Prävention trotz politischer Zusagen</w:t>
      </w:r>
    </w:p>
    <w:p>
      <w:r>
        <w:rPr>
          <w:i/>
          <w:color w:val="666666"/>
          <w:sz w:val="18"/>
        </w:rPr>
        <w:t>Alnaji N et al.  ·  Nutrients  ·  20.10.2026  ·  PMID 42943006</w:t>
      </w:r>
    </w:p>
    <w:p>
      <w:r>
        <w:t>Framework-gestützte Analyse von 103 politischen Dokumenten und 32 Stakeholder-Interviews aus 6 Golfkooperationsrat-Ländern zur Bestandsaufnahme von Adipositas-Präventionspolitik für Kinder.</w:t>
      </w:r>
    </w:p>
    <w:p>
      <w:r>
        <w:rPr>
          <w:b/>
        </w:rPr>
        <w:t xml:space="preserve">Ergebnis: </w:t>
      </w:r>
      <w:r>
        <w:t>Front-of-Pack-Kennzeichnung in 3 Ländern nur freiwillig; Werbeeinschränkungen teilweise, digital kaum umgesetzt. Fragmentierte Governance und fehlende Rechenschaftspflicht schwächen Umsetzung. Schulische Interventionen und IYCF-Strategien existieren, aber inkonsistente Finanzierung und Implementation. Roadmap mit 3 Handlungsfeldern empfohlen: Verbesserung Kinderlebensmittel, Lebensmittelumgebung, Ernährungspraxis.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Golfregion, nicht direkt deutsch, aber Politikstrukturen-Lektionen anwendbar</w:t>
      </w:r>
    </w:p>
    <w:p>
      <w:r>
        <w:rPr>
          <w:color w:val="5A7D3A"/>
          <w:sz w:val="18"/>
        </w:rPr>
        <w:t>https://pubmed.ncbi.nlm.nih.gov/42943006/</w:t>
      </w:r>
    </w:p>
    <w:p>
      <w:pPr>
        <w:pStyle w:val="Heading2"/>
      </w:pPr>
      <w:r>
        <w:t>Hepatische Steatose nach Adipositaschirurgie: Rückgang bereits nach 3 Monaten messbar</w:t>
      </w:r>
    </w:p>
    <w:p>
      <w:r>
        <w:rPr>
          <w:i/>
          <w:color w:val="666666"/>
          <w:sz w:val="18"/>
        </w:rPr>
        <w:t>Hoffmann T et al.  ·  BMC Med Imaging  ·  22.10.2026  ·  PMID 42934557</w:t>
      </w:r>
    </w:p>
    <w:p>
      <w:r>
        <w:t>Prospektive Studie an 89 Patienten nach Adipositaschirurgie mit Ultraschall und Attenuierungsbildgebung zur Verfolgung von Leberablagerungen präoperativ sowie 3 und 6 Monate postoperativ.</w:t>
      </w:r>
    </w:p>
    <w:p>
      <w:r>
        <w:rPr>
          <w:b/>
        </w:rPr>
        <w:t xml:space="preserve">Ergebnis: </w:t>
      </w:r>
      <w:r>
        <w:t>BMI sank postoperativ in allen Fällen (p&lt;0,001). Steatose-Besserung B-Mode 56,2%, Attenuierungsbildgebung 68,5%, absolute ATI-Werte in 94,4% reduziert. Lebergröße in 94,4% kleiner. Größte Reduktionen bei 3 Monaten. Metabolische Besserung tritt früh nach chirurgischer Intervention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 Tübingen, Versorgungsrealität abbildend</w:t>
      </w:r>
    </w:p>
    <w:p>
      <w:r>
        <w:rPr>
          <w:color w:val="5A7D3A"/>
          <w:sz w:val="18"/>
        </w:rPr>
        <w:t>https://pubmed.ncbi.nlm.nih.gov/42934557/</w:t>
      </w:r>
    </w:p>
    <w:p>
      <w:pPr>
        <w:pStyle w:val="Heading2"/>
      </w:pPr>
      <w:r>
        <w:t>Körperliche Aktivität in der Adipositasprävention: Effekte über die Gewichtskontrolle hinaus</w:t>
      </w:r>
    </w:p>
    <w:p>
      <w:r>
        <w:rPr>
          <w:i/>
          <w:color w:val="666666"/>
          <w:sz w:val="18"/>
        </w:rPr>
        <w:t>Joisten C et al.  ·  Bundesgesundheitsblatt Gesundheitsforschung Gesundheitsschutz  ·  15.10.2026  ·  PMID 42878853</w:t>
      </w:r>
    </w:p>
    <w:p>
      <w:r>
        <w:t>Narrative Übersicht zur Rolle von körperlicher Aktivität in Prävention und Therapie von Adipositas über die gesamte Lebensspanne.</w:t>
      </w:r>
    </w:p>
    <w:p>
      <w:r>
        <w:rPr>
          <w:b/>
        </w:rPr>
        <w:t xml:space="preserve">Ergebnis: </w:t>
      </w:r>
      <w:r>
        <w:t>Bewegung allein führt bei Erwachsenen zu moderatem Gewichtsverlust; unabhängig davon assoziiert mit relevanten Verbesserungen von Körperzusammensetzung, Fitness, metabolischer Gesundheit, Mobilität und Lebensqualität. Physical Literacy als Kompetenz-Konstrukt kann langfristige Bewegungsressourcen für Gesundheit verankern.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Publikation, nationale Leitlinien und Monitoringdaten integriert</w:t>
      </w:r>
    </w:p>
    <w:p>
      <w:r>
        <w:rPr>
          <w:color w:val="5A7D3A"/>
          <w:sz w:val="18"/>
        </w:rPr>
        <w:t>https://pubmed.ncbi.nlm.nih.gov/42878853/</w:t>
      </w:r>
    </w:p>
    <w:p>
      <w:pPr>
        <w:pStyle w:val="Heading2"/>
      </w:pPr>
      <w:r>
        <w:t>Blutungskomplikationen nach Adipositaschirurgie: Patientenfaktoren wichtiger als Technik</w:t>
      </w:r>
    </w:p>
    <w:p>
      <w:r>
        <w:rPr>
          <w:i/>
          <w:color w:val="666666"/>
          <w:sz w:val="18"/>
        </w:rPr>
        <w:t>Brouwer AJ et al.  ·  Obes Surg  ·  02.10.2026  ·  PMID 42825970</w:t>
      </w:r>
    </w:p>
    <w:p>
      <w:r>
        <w:t>Niederländische Registeranalyse von 83.580 Patienten aus dem DATO (Dutch Audit for Treatment of Obesity), um Risikofaktoren für postoperative Blutungen ≥Clavien-Dindo Grad II nach primärer Adipositaschirurgie zu identifizieren.</w:t>
      </w:r>
    </w:p>
    <w:p>
      <w:r>
        <w:rPr>
          <w:b/>
        </w:rPr>
        <w:t xml:space="preserve">Ergebnis: </w:t>
      </w:r>
      <w:r>
        <w:t>Postoperative Blutungen traten in 1,2% (n=1.021) auf. Unabhängig assoziiert: höherer BMI protektiv (aOR 0,974; p&lt;0,001), Schlaganfall/TIA (aOR 1,75), Hypertonie (aOR 1,34) und Lebererkrankung (aOR 1,84). Chirurgische Technik und Stapler-Typ zeigten keine signifikante Assoziation. Patientenfaktoren überwiegen technische Variable.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Register</w:t>
      </w:r>
    </w:p>
    <w:p>
      <w:r>
        <w:rPr>
          <w:color w:val="5A7D3A"/>
          <w:sz w:val="18"/>
        </w:rPr>
        <w:t>https://pubmed.ncbi.nlm.nih.gov/42825970/</w:t>
      </w:r>
    </w:p>
    <w:p>
      <w:pPr>
        <w:pStyle w:val="Heading2"/>
      </w:pPr>
      <w:r>
        <w:t>Adipositaschirurgie im NHS: Welche Patienten halten Gewichtsverlust über 10 Jahre?</w:t>
      </w:r>
    </w:p>
    <w:p>
      <w:r>
        <w:rPr>
          <w:i/>
          <w:color w:val="666666"/>
          <w:sz w:val="18"/>
        </w:rPr>
        <w:t>Aizan LNB et al.  ·  Obes Surg  ·  28.08.2026  ·  PMID 42661133</w:t>
      </w:r>
    </w:p>
    <w:p>
      <w:r>
        <w:t>Longitudinale Kohortenstudie von 2.092 Patienten nach Adipositaschirurgie im NHS, um präoperative Faktoren für Langzeitgewicht und Wiederzunahme zu identifizieren.</w:t>
      </w:r>
    </w:p>
    <w:p>
      <w:r>
        <w:rPr>
          <w:b/>
        </w:rPr>
        <w:t xml:space="preserve">Ergebnis: </w:t>
      </w:r>
      <w:r>
        <w:t>Mittlerer Gesamtgewichtsverlust 31,3% nach 2 Jahren, graduell abnehmend auf 25,1% nach 10 Jahren. Bypass-Verfahren (RYGB, OAGB) zeigten bis 5 Jahre bessere Ergebnisse als Sleeve (27,9–28,3% vs. 22,8%). Alter, Hypertonie, sozioökonomischer Status (IMD Quintil) und früher erreichte Gewichtsloss waren signifikante Prädiktoren für Wiederzunahme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NHS-Daten, Versicherungssystem vergleichbar mit deutschem</w:t>
      </w:r>
    </w:p>
    <w:p>
      <w:r>
        <w:rPr>
          <w:color w:val="5A7D3A"/>
          <w:sz w:val="18"/>
        </w:rPr>
        <w:t>https://pubmed.ncbi.nlm.nih.gov/42661133/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