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28.10.2026  |  401 Studien  |  adipositas.m-vf.de</w:t>
      </w:r>
    </w:p>
    <w:p>
      <w:pPr>
        <w:pStyle w:val="Heading1"/>
      </w:pPr>
      <w:r>
        <w:t>Aufgenommen am 28.10.2026</w:t>
      </w:r>
    </w:p>
    <w:p>
      <w:pPr>
        <w:pStyle w:val="Heading2"/>
      </w:pPr>
      <w:r>
        <w:t>Adipositas bei Kindern und Jugendlichen: Family-based Care, Psychologie und Pharmakotherapie</w:t>
      </w:r>
    </w:p>
    <w:p>
      <w:r>
        <w:rPr>
          <w:i/>
          <w:color w:val="666666"/>
          <w:sz w:val="18"/>
        </w:rPr>
        <w:t>Oliaro T et al.  ·  Nutrients  ·  21.10.2026  ·  PMID 42943020</w:t>
      </w:r>
    </w:p>
    <w:p>
      <w:r>
        <w:t>Narrative Übersicht über integrierte Behandlungsansätze für Kinder und Jugendliche mit Adipositas, einschließlich verhaltensbasierter, psychologischer und pharmakologischer Strategien.</w:t>
      </w:r>
    </w:p>
    <w:p>
      <w:r>
        <w:rPr>
          <w:b/>
        </w:rPr>
        <w:t xml:space="preserve">Ergebnis: </w:t>
      </w:r>
      <w:r>
        <w:t>Intensive familienbasierte Multikomponenten-Therapie ist die am besten gestützte Grundlage. Psychiatrische Komorbiditäten (Binge Eating, ADHD, emotionale Symptome) beeinflussen Therapieerfolg. Anti-Adipositas-Medikamente (Semaglutid, Liraglutid) produzierten zusätzliche, aber moderate BMI-Reduktion; Gewichtsrückgang nach Absetzen teilweise. Familie und Psyche sind entscheidend.</w:t>
      </w:r>
    </w:p>
    <w:p>
      <w:r>
        <w:rPr>
          <w:b/>
          <w:sz w:val="19"/>
        </w:rPr>
        <w:t xml:space="preserve">Übertragbarkeit: </w:t>
      </w:r>
      <w:r>
        <w:rPr>
          <w:sz w:val="19"/>
        </w:rPr>
        <w:t>Evidenzsynthese aus internationalen Studien, pädiatrische Therapielogik übertragbar</w:t>
      </w:r>
    </w:p>
    <w:p>
      <w:r>
        <w:rPr>
          <w:color w:val="5A7D3A"/>
          <w:sz w:val="18"/>
        </w:rPr>
        <w:t>https://pubmed.ncbi.nlm.nih.gov/42943020/</w:t>
      </w:r>
    </w:p>
    <w:p>
      <w:pPr>
        <w:pStyle w:val="Heading2"/>
      </w:pPr>
      <w:r>
        <w:t>Adipositas bei Golfländern-Kindern: Lückenhafte Prävention trotz politischer Zusagen</w:t>
      </w:r>
    </w:p>
    <w:p>
      <w:r>
        <w:rPr>
          <w:i/>
          <w:color w:val="666666"/>
          <w:sz w:val="18"/>
        </w:rPr>
        <w:t>Alnaji N et al.  ·  Nutrients  ·  20.10.2026  ·  PMID 42943006</w:t>
      </w:r>
    </w:p>
    <w:p>
      <w:r>
        <w:t>Framework-gestützte Analyse von 103 politischen Dokumenten und 32 Stakeholder-Interviews aus 6 Golfkooperationsrat-Ländern zur Bestandsaufnahme von Adipositas-Präventionspolitik für Kinder.</w:t>
      </w:r>
    </w:p>
    <w:p>
      <w:r>
        <w:rPr>
          <w:b/>
        </w:rPr>
        <w:t xml:space="preserve">Ergebnis: </w:t>
      </w:r>
      <w:r>
        <w:t>Front-of-Pack-Kennzeichnung in 3 Ländern nur freiwillig; Werbeeinschränkungen teilweise, digital kaum umgesetzt. Fragmentierte Governance und fehlende Rechenschaftspflicht schwächen Umsetzung. Schulische Interventionen und IYCF-Strategien existieren, aber inkonsistente Finanzierung und Implementation. Roadmap mit 3 Handlungsfeldern empfohlen: Verbesserung Kinderlebensmittel, Lebensmittelumgebung, Ernährungspraxis.</w:t>
      </w:r>
    </w:p>
    <w:p>
      <w:r>
        <w:rPr>
          <w:b/>
          <w:sz w:val="19"/>
        </w:rPr>
        <w:t xml:space="preserve">Übertragbarkeit: </w:t>
      </w:r>
      <w:r>
        <w:rPr>
          <w:sz w:val="19"/>
        </w:rPr>
        <w:t>Golfregion, nicht direkt deutsch, aber Politikstrukturen-Lektionen anwendbar</w:t>
      </w:r>
    </w:p>
    <w:p>
      <w:r>
        <w:rPr>
          <w:color w:val="5A7D3A"/>
          <w:sz w:val="18"/>
        </w:rPr>
        <w:t>https://pubmed.ncbi.nlm.nih.gov/42943006/</w:t>
      </w:r>
    </w:p>
    <w:p>
      <w:pPr>
        <w:pStyle w:val="Heading2"/>
      </w:pPr>
      <w:r>
        <w:t>Hepatische Steatose nach Adipositaschirurgie: Rückgang bereits nach 3 Monaten messbar</w:t>
      </w:r>
    </w:p>
    <w:p>
      <w:r>
        <w:rPr>
          <w:i/>
          <w:color w:val="666666"/>
          <w:sz w:val="18"/>
        </w:rPr>
        <w:t>Hoffmann T et al.  ·  BMC Med Imaging  ·  22.10.2026  ·  PMID 42934557</w:t>
      </w:r>
    </w:p>
    <w:p>
      <w:r>
        <w:t>Prospektive Studie an 89 Patienten nach Adipositaschirurgie mit Ultraschall und Attenuierungsbildgebung zur Verfolgung von Leberablagerungen präoperativ sowie 3 und 6 Monate postoperativ.</w:t>
      </w:r>
    </w:p>
    <w:p>
      <w:r>
        <w:rPr>
          <w:b/>
        </w:rPr>
        <w:t xml:space="preserve">Ergebnis: </w:t>
      </w:r>
      <w:r>
        <w:t>BMI sank postoperativ in allen Fällen (p&lt;0,001). Steatose-Besserung B-Mode 56,2%, Attenuierungsbildgebung 68,5%, absolute ATI-Werte in 94,4% reduziert. Lebergröße in 94,4% kleiner. Größte Reduktionen bei 3 Monaten. Metabolische Besserung tritt früh nach chirurgischer Intervention auf.</w:t>
      </w:r>
    </w:p>
    <w:p>
      <w:r>
        <w:rPr>
          <w:b/>
          <w:sz w:val="19"/>
        </w:rPr>
        <w:t xml:space="preserve">Übertragbarkeit: </w:t>
      </w:r>
      <w:r>
        <w:rPr>
          <w:sz w:val="19"/>
        </w:rPr>
        <w:t>Deutsche Universitätsklinik Tübingen, Versorgungsrealität abbildend</w:t>
      </w:r>
    </w:p>
    <w:p>
      <w:r>
        <w:rPr>
          <w:color w:val="5A7D3A"/>
          <w:sz w:val="18"/>
        </w:rPr>
        <w:t>https://pubmed.ncbi.nlm.nih.gov/42934557/</w:t>
      </w:r>
    </w:p>
    <w:p>
      <w:pPr>
        <w:pStyle w:val="Heading2"/>
      </w:pPr>
      <w:r>
        <w:t>Körperliche Aktivität in der Adipositasprävention: Effekte über die Gewichtskontrolle hinaus</w:t>
      </w:r>
    </w:p>
    <w:p>
      <w:r>
        <w:rPr>
          <w:i/>
          <w:color w:val="666666"/>
          <w:sz w:val="18"/>
        </w:rPr>
        <w:t>Joisten C et al.  ·  Bundesgesundheitsblatt Gesundheitsforschung Gesundheitsschutz  ·  15.10.2026  ·  PMID 42878853</w:t>
      </w:r>
    </w:p>
    <w:p>
      <w:r>
        <w:t>Narrative Übersicht zur Rolle von körperlicher Aktivität in Prävention und Therapie von Adipositas über die gesamte Lebensspanne.</w:t>
      </w:r>
    </w:p>
    <w:p>
      <w:r>
        <w:rPr>
          <w:b/>
        </w:rPr>
        <w:t xml:space="preserve">Ergebnis: </w:t>
      </w:r>
      <w:r>
        <w:t>Bewegung allein führt bei Erwachsenen zu moderatem Gewichtsverlust; unabhängig davon assoziiert mit relevanten Verbesserungen von Körperzusammensetzung, Fitness, metabolischer Gesundheit, Mobilität und Lebensqualität. Physical Literacy als Kompetenz-Konstrukt kann langfristige Bewegungsressourcen für Gesundheit verankern.</w:t>
      </w:r>
    </w:p>
    <w:p>
      <w:r>
        <w:rPr>
          <w:b/>
          <w:sz w:val="19"/>
        </w:rPr>
        <w:t xml:space="preserve">Übertragbarkeit: </w:t>
      </w:r>
      <w:r>
        <w:rPr>
          <w:sz w:val="19"/>
        </w:rPr>
        <w:t>Deutsche Publikation, nationale Leitlinien und Monitoringdaten integriert</w:t>
      </w:r>
    </w:p>
    <w:p>
      <w:r>
        <w:rPr>
          <w:color w:val="5A7D3A"/>
          <w:sz w:val="18"/>
        </w:rPr>
        <w:t>https://pubmed.ncbi.nlm.nih.gov/42878853/</w:t>
      </w:r>
    </w:p>
    <w:p>
      <w:pPr>
        <w:pStyle w:val="Heading2"/>
      </w:pPr>
      <w:r>
        <w:t>Blutungskomplikationen nach Adipositaschirurgie: Patientenfaktoren wichtiger als Technik</w:t>
      </w:r>
    </w:p>
    <w:p>
      <w:r>
        <w:rPr>
          <w:i/>
          <w:color w:val="666666"/>
          <w:sz w:val="18"/>
        </w:rPr>
        <w:t>Brouwer AJ et al.  ·  Obes Surg  ·  02.10.2026  ·  PMID 42825970</w:t>
      </w:r>
    </w:p>
    <w:p>
      <w:r>
        <w:t>Niederländische Registeranalyse von 83.580 Patienten aus dem DATO (Dutch Audit for Treatment of Obesity), um Risikofaktoren für postoperative Blutungen ≥Clavien-Dindo Grad II nach primärer Adipositaschirurgie zu identifizieren.</w:t>
      </w:r>
    </w:p>
    <w:p>
      <w:r>
        <w:rPr>
          <w:b/>
        </w:rPr>
        <w:t xml:space="preserve">Ergebnis: </w:t>
      </w:r>
      <w:r>
        <w:t>Postoperative Blutungen traten in 1,2% (n=1.021) auf. Unabhängig assoziiert: höherer BMI protektiv (aOR 0,974; p&lt;0,001), Schlaganfall/TIA (aOR 1,75), Hypertonie (aOR 1,34) und Lebererkrankung (aOR 1,84). Chirurgische Technik und Stapler-Typ zeigten keine signifikante Assoziation. Patientenfaktoren überwiegen technische Variable.</w:t>
      </w:r>
    </w:p>
    <w:p>
      <w:r>
        <w:rPr>
          <w:b/>
          <w:sz w:val="19"/>
        </w:rPr>
        <w:t xml:space="preserve">Übertragbarkeit: </w:t>
      </w:r>
      <w:r>
        <w:rPr>
          <w:sz w:val="19"/>
        </w:rPr>
        <w:t>Niederlande, vergleichbares Versicherungssystem und Register</w:t>
      </w:r>
    </w:p>
    <w:p>
      <w:r>
        <w:rPr>
          <w:color w:val="5A7D3A"/>
          <w:sz w:val="18"/>
        </w:rPr>
        <w:t>https://pubmed.ncbi.nlm.nih.gov/42825970/</w:t>
      </w:r>
    </w:p>
    <w:p>
      <w:pPr>
        <w:pStyle w:val="Heading2"/>
      </w:pPr>
      <w:r>
        <w:t>Adipositaschirurgie im NHS: Welche Patienten halten Gewichtsverlust über 10 Jahre?</w:t>
      </w:r>
    </w:p>
    <w:p>
      <w:r>
        <w:rPr>
          <w:i/>
          <w:color w:val="666666"/>
          <w:sz w:val="18"/>
        </w:rPr>
        <w:t>Aizan LNB et al.  ·  Obes Surg  ·  28.08.2026  ·  PMID 42661133</w:t>
      </w:r>
    </w:p>
    <w:p>
      <w:r>
        <w:t>Longitudinale Kohortenstudie von 2.092 Patienten nach Adipositaschirurgie im NHS, um präoperative Faktoren für Langzeitgewicht und Wiederzunahme zu identifizieren.</w:t>
      </w:r>
    </w:p>
    <w:p>
      <w:r>
        <w:rPr>
          <w:b/>
        </w:rPr>
        <w:t xml:space="preserve">Ergebnis: </w:t>
      </w:r>
      <w:r>
        <w:t>Mittlerer Gesamtgewichtsverlust 31,3% nach 2 Jahren, graduell abnehmend auf 25,1% nach 10 Jahren. Bypass-Verfahren (RYGB, OAGB) zeigten bis 5 Jahre bessere Ergebnisse als Sleeve (27,9–28,3% vs. 22,8%). Alter, Hypertonie, sozioökonomischer Status (IMD Quintil) und früher erreichte Gewichtsloss waren signifikante Prädiktoren für Wiederzunahme (p&lt;0,05).</w:t>
      </w:r>
    </w:p>
    <w:p>
      <w:r>
        <w:rPr>
          <w:b/>
          <w:sz w:val="19"/>
        </w:rPr>
        <w:t xml:space="preserve">Übertragbarkeit: </w:t>
      </w:r>
      <w:r>
        <w:rPr>
          <w:sz w:val="19"/>
        </w:rPr>
        <w:t>UK NHS-Daten, Versicherungssystem vergleichbar mit deutschem</w:t>
      </w:r>
    </w:p>
    <w:p>
      <w:r>
        <w:rPr>
          <w:color w:val="5A7D3A"/>
          <w:sz w:val="18"/>
        </w:rPr>
        <w:t>https://pubmed.ncbi.nlm.nih.gov/42661133/</w:t>
      </w:r>
    </w:p>
    <w:p>
      <w:pPr>
        <w:pStyle w:val="Heading1"/>
      </w:pPr>
      <w:r>
        <w:t>Aufgenommen am 27.10.2026</w:t>
      </w:r>
    </w:p>
    <w:p>
      <w:pPr>
        <w:pStyle w:val="Heading2"/>
      </w:pPr>
      <w:r>
        <w:t>Gewichtsverlust im Alter erhöht psychische Belastung dosisabhängig</w:t>
      </w:r>
    </w:p>
    <w:p>
      <w:r>
        <w:rPr>
          <w:i/>
          <w:color w:val="666666"/>
          <w:sz w:val="18"/>
        </w:rPr>
        <w:t>Chou YC et al.  ·  BMC Geriatr  ·  29.07.2026  ·  PMID 42928118</w:t>
      </w:r>
    </w:p>
    <w:p>
      <w:r>
        <w:t>Prospektive Kohortenstudie mit 70.570 Älteren (≥65 Jahre) aus Taiwan über 12 Jahre (2005–2016) zur Assoziation zwischen BMI-Veränderungen und psychischer Belastung (BSRS-5-Score).</w:t>
      </w:r>
    </w:p>
    <w:p>
      <w:r>
        <w:rPr>
          <w:b/>
        </w:rPr>
        <w:t xml:space="preserve">Ergebnis: </w:t>
      </w:r>
      <w:r>
        <w:t>Starker Gewichtsverlust (&gt;10 %): adjustierte OR = 1,90 (95%-KI: 1,77–2,04) für psychische Belastung; leichter Gewichtsverlust (5–10 %): aOR = 1,60 (95%-KI: 1,52–1,68). Gewichtszunahme zeigte niedrigere und weniger robuste Effekte. Assoziation war dosisabhängig und blieb in Sensitivitätsanalysen signifikant.</w:t>
      </w:r>
    </w:p>
    <w:p>
      <w:r>
        <w:rPr>
          <w:b/>
          <w:sz w:val="19"/>
        </w:rPr>
        <w:t xml:space="preserve">Übertragbarkeit: </w:t>
      </w:r>
      <w:r>
        <w:rPr>
          <w:sz w:val="19"/>
        </w:rPr>
        <w:t>Taiwan, großes Register, Gewichtsverlust oft Frühzeichen Systemerkrankung</w:t>
      </w:r>
    </w:p>
    <w:p>
      <w:r>
        <w:rPr>
          <w:color w:val="5A7D3A"/>
          <w:sz w:val="18"/>
        </w:rPr>
        <w:t>https://pubmed.ncbi.nlm.nih.gov/42928118/</w:t>
      </w:r>
    </w:p>
    <w:p>
      <w:pPr>
        <w:pStyle w:val="Heading2"/>
      </w:pPr>
      <w:r>
        <w:t>GLP-1 nach Adipositaschirurgie: Nutzen hängt vom Zeitpunkt ab</w:t>
      </w:r>
    </w:p>
    <w:p>
      <w:r>
        <w:rPr>
          <w:i/>
          <w:color w:val="666666"/>
          <w:sz w:val="18"/>
        </w:rPr>
        <w:t>He MC et al.  ·  Zhonghua Wei Chang Wai Ke Za Zhi  ·  25.10.2026  ·  PMID 42927970</w:t>
      </w:r>
    </w:p>
    <w:p>
      <w:r>
        <w:t>Systematische Übersicht und Metaanalyse von 27 Studien (13 mit Quantifizierung) zur Wirksamkeit und Sicherheit von GLP-1-Rezeptoragonisten vor, unmittelbar nach und &gt;6 Monate nach Adipositaschirurgie.</w:t>
      </w:r>
    </w:p>
    <w:p>
      <w:r>
        <w:rPr>
          <w:b/>
        </w:rPr>
        <w:t xml:space="preserve">Ergebnis: </w:t>
      </w:r>
      <w:r>
        <w:t>Präoperativ: SMD 0,52 für Gewichtsverlust (95%-KI: 0,25–0,79), aber mit OP-Gewicht als Baseline: −2,85 Prozentpunkte Gesamtgewichtsverlust (TWL) bei 12 Monaten. Früh postoperativ (1 Monat): +3,62 Prozentpunkte TWL bei 6 Monaten. Nach 6 Monaten: +7,48 kg Zusatzverlust. Rettungstherapie: +10,30 % Endpunkt-Gewichtsverlust vs. Placebo. NW hauptsächlich gastrointestinal (Übelkeit 25,3 %, Verstopfung 19,0 %), schwer selten.</w:t>
      </w:r>
    </w:p>
    <w:p>
      <w:r>
        <w:rPr>
          <w:b/>
          <w:sz w:val="19"/>
        </w:rPr>
        <w:t xml:space="preserve">Übertragbarkeit: </w:t>
      </w:r>
      <w:r>
        <w:rPr>
          <w:sz w:val="19"/>
        </w:rPr>
        <w:t>China, systematische Übersicht international, GLP-1-Erstattung dort unterschiedlich zu Deutschland</w:t>
      </w:r>
    </w:p>
    <w:p>
      <w:r>
        <w:rPr>
          <w:color w:val="5A7D3A"/>
          <w:sz w:val="18"/>
        </w:rPr>
        <w:t>https://pubmed.ncbi.nlm.nih.gov/42927970/</w:t>
      </w:r>
    </w:p>
    <w:p>
      <w:pPr>
        <w:pStyle w:val="Heading2"/>
      </w:pPr>
      <w:r>
        <w:t>Elternfütterungspraktiken und Stress: keine moderierenden Effekte auf Kindergewicht</w:t>
      </w:r>
    </w:p>
    <w:p>
      <w:r>
        <w:rPr>
          <w:i/>
          <w:color w:val="666666"/>
          <w:sz w:val="18"/>
        </w:rPr>
        <w:t>Demi̇rtaş E et al.  ·  BMC Public Health  ·  07.08.2026  ·  PMID 42926235</w:t>
      </w:r>
    </w:p>
    <w:p>
      <w:r>
        <w:t>Querschnittsstudie mit 441 Kindern (3–11 Jahre) und ihren Müttern in der Türkei zur Assoziation zwischen Elternfütterungspraktiken, mütterlichem Stress und Kinder-BMI.</w:t>
      </w:r>
    </w:p>
    <w:p>
      <w:r>
        <w:rPr>
          <w:b/>
        </w:rPr>
        <w:t xml:space="preserve">Ergebnis: </w:t>
      </w:r>
      <w:r>
        <w:t>Druck zum Essen zeigte negative Assoziation mit BMI (B = −0,120; p &lt; 0,001); Restriktion und Monitoring nicht signifikant. Mütterlicher Stress war schwach negativ assoziiert in Restriktions- und Monitoring-Modellen, aber nicht beim Druck-zum-Essen-Modell. Keine signifikanten Interaktionsterme. Modelle erklärten 3,5–7,2 % der BMI-Varianz.</w:t>
      </w:r>
    </w:p>
    <w:p>
      <w:r>
        <w:rPr>
          <w:b/>
          <w:sz w:val="19"/>
        </w:rPr>
        <w:t xml:space="preserve">Übertragbarkeit: </w:t>
      </w:r>
      <w:r>
        <w:rPr>
          <w:sz w:val="19"/>
        </w:rPr>
        <w:t>Türkei, repräsentativ, aber Moderationseffekte kulturell variabel</w:t>
      </w:r>
    </w:p>
    <w:p>
      <w:r>
        <w:rPr>
          <w:color w:val="5A7D3A"/>
          <w:sz w:val="18"/>
        </w:rPr>
        <w:t>https://pubmed.ncbi.nlm.nih.gov/42926235/</w:t>
      </w:r>
    </w:p>
    <w:p>
      <w:pPr>
        <w:pStyle w:val="Heading2"/>
      </w:pPr>
      <w:r>
        <w:t>Doppelbelastung: 4,7 % der Kinder zeigen Stunting und Übergewicht gleichzeitig</w:t>
      </w:r>
    </w:p>
    <w:p>
      <w:r>
        <w:rPr>
          <w:i/>
          <w:color w:val="666666"/>
          <w:sz w:val="18"/>
        </w:rPr>
        <w:t>de Carvalho JTP et al.  ·  Epidemiol Serv Saude  ·  03.04.2026  ·  PMID 42922964</w:t>
      </w:r>
    </w:p>
    <w:p>
      <w:r>
        <w:t>Deskriptive Studie mit anthropometrischen Daten aus dem Brasilianischen Lebensmittel- und Ernährungsüberwachungssystem zu Prävalenz und Muster der Doppelbelastung Malnutrition (gleichzeitig Stunting und hohes BMI-für-Alter) bei 1.704 Kindern (0–9 Jahre) in Icapuí, Ceará.</w:t>
      </w:r>
    </w:p>
    <w:p>
      <w:r>
        <w:rPr>
          <w:b/>
        </w:rPr>
        <w:t xml:space="preserve">Ergebnis: </w:t>
      </w:r>
      <w:r>
        <w:t>23,9 % Übergewicht (Übergewicht, Adipositas, schwere Adipositas); 10,2 % Stunting. Doppelbelastung in 4,7 %, höher bei unter 5 Jahren (6,5 %) als bei 5–9 Jahren (3,0 %). Jungen zeigten höhere Stunting- und Doppelbelastungs-Prävalenz als Mädchen.</w:t>
      </w:r>
    </w:p>
    <w:p>
      <w:r>
        <w:rPr>
          <w:b/>
          <w:sz w:val="19"/>
        </w:rPr>
        <w:t xml:space="preserve">Übertragbarkeit: </w:t>
      </w:r>
      <w:r>
        <w:rPr>
          <w:sz w:val="19"/>
        </w:rPr>
        <w:t>Brasilien, Primärversorgung, klassisches Problem niedrig-mittlerer Einkommensländer</w:t>
      </w:r>
    </w:p>
    <w:p>
      <w:r>
        <w:rPr>
          <w:color w:val="5A7D3A"/>
          <w:sz w:val="18"/>
        </w:rPr>
        <w:t>https://pubmed.ncbi.nlm.nih.gov/42922964/</w:t>
      </w:r>
    </w:p>
    <w:p>
      <w:pPr>
        <w:pStyle w:val="Heading2"/>
      </w:pPr>
      <w:r>
        <w:t>Schwangerschaftsgewichtszunahme unter 10 kg erhöht Vitamin-D-Mangel beim Kind</w:t>
      </w:r>
    </w:p>
    <w:p>
      <w:r>
        <w:rPr>
          <w:i/>
          <w:color w:val="666666"/>
          <w:sz w:val="18"/>
        </w:rPr>
        <w:t>Zhao Y et al.  ·  Front Endocrinol (Lausanne)  ·  08.10.2026  ·  PMID 42922897</w:t>
      </w:r>
    </w:p>
    <w:p>
      <w:r>
        <w:t>Multizentrische retrospektive Kohortenstudie mit 1.984 Mutter-Kind-Paaren in Jiangsu-Provinz (China), 2014–2015, zur Assoziation zwischen mütterlicher Gestationsgewichtszunahme (GWG) und Vitamin-D-Status der Kinder (0–5 Jahre).</w:t>
      </w:r>
    </w:p>
    <w:p>
      <w:r>
        <w:rPr>
          <w:b/>
        </w:rPr>
        <w:t xml:space="preserve">Ergebnis: </w:t>
      </w:r>
      <w:r>
        <w:t>GWG ≤10 kg war assoziiert mit erhöhtem Vitamin-D-Mangel-Risiko (OR = 1,82; 95%-KI: 1,36–2,44 in Modell 1) und blieb in mehreren Modellen signifikant. GWG &gt;19 kg zeigte erhöhtes Insuffizienz-Risiko (OR = 1,31 unadjustiert), die Assoziation war aber nach FDR-Korrektur nicht robust.</w:t>
      </w:r>
    </w:p>
    <w:p>
      <w:r>
        <w:rPr>
          <w:b/>
          <w:sz w:val="19"/>
        </w:rPr>
        <w:t xml:space="preserve">Übertragbarkeit: </w:t>
      </w:r>
      <w:r>
        <w:rPr>
          <w:sz w:val="19"/>
        </w:rPr>
        <w:t>China, multizentrisch, aber Vitamin-D-Status stark klimaabhängig</w:t>
      </w:r>
    </w:p>
    <w:p>
      <w:r>
        <w:rPr>
          <w:color w:val="5A7D3A"/>
          <w:sz w:val="18"/>
        </w:rPr>
        <w:t>https://pubmed.ncbi.nlm.nih.gov/42922897/</w:t>
      </w:r>
    </w:p>
    <w:p>
      <w:pPr>
        <w:pStyle w:val="Heading2"/>
      </w:pPr>
      <w:r>
        <w:t>Adipositas-Fortbildung in Brasilien: Ernährungsberater absolvieren häufiger</w:t>
      </w:r>
    </w:p>
    <w:p>
      <w:r>
        <w:rPr>
          <w:i/>
          <w:color w:val="666666"/>
          <w:sz w:val="18"/>
        </w:rPr>
        <w:t>Silva ARE et al.  ·  Epidemiol Serv Saude  ·  16.07.2026  ·  PMID 42922716</w:t>
      </w:r>
    </w:p>
    <w:p>
      <w:r>
        <w:t>Querschnittsstudie mit 3.975 angemeldeten Fachkräften und Studierenden zu Faktoren für den Abschluss einer 40-Stunden-Distanzfortbildung zum kollektiven Adipositas-Management im brasilianischen SUS (2021–2022).</w:t>
      </w:r>
    </w:p>
    <w:p>
      <w:r>
        <w:rPr>
          <w:b/>
        </w:rPr>
        <w:t xml:space="preserve">Ergebnis: </w:t>
      </w:r>
      <w:r>
        <w:t>1.620 (40,8 %) greifen auf Plattform zu. Nach Adjustment: Ernährungsberater (OR = 1,55; 95%-KI: 1,09–2,19) und vorherige Exposition gegenüber gedrucktem/digitalem Material (OR = 1,27; 95%-KI: 1,04–1,56) erhöhen Abschlusswahrscheinlichkeit. 91 % Frauen, 56,7 % Ernährungsberater, 54,8 % in Südosten tätig.</w:t>
      </w:r>
    </w:p>
    <w:p>
      <w:r>
        <w:rPr>
          <w:b/>
          <w:sz w:val="19"/>
        </w:rPr>
        <w:t xml:space="preserve">Übertragbarkeit: </w:t>
      </w:r>
      <w:r>
        <w:rPr>
          <w:sz w:val="19"/>
        </w:rPr>
        <w:t>Brasilien, Versorgungssystem SUS, Berufskategorie und Zugang zentral</w:t>
      </w:r>
    </w:p>
    <w:p>
      <w:r>
        <w:rPr>
          <w:color w:val="5A7D3A"/>
          <w:sz w:val="18"/>
        </w:rPr>
        <w:t>https://pubmed.ncbi.nlm.nih.gov/42922716/</w:t>
      </w:r>
    </w:p>
    <w:p>
      <w:pPr>
        <w:pStyle w:val="Heading2"/>
      </w:pPr>
      <w:r>
        <w:t>Bangla desh: Untergewicht um 41 % gesunken, Übergewicht um 34 % gestiegen</w:t>
      </w:r>
    </w:p>
    <w:p>
      <w:r>
        <w:rPr>
          <w:i/>
          <w:color w:val="666666"/>
          <w:sz w:val="18"/>
        </w:rPr>
        <w:t>Billah MA et al.  ·  Public Health Nutr  ·  23.10.2026  ·  PMID 42922254</w:t>
      </w:r>
    </w:p>
    <w:p>
      <w:r>
        <w:t>Analyse von acht Wellen der Bangladesh Demographic Health Surveys (1996–2022) mit 90.510 Frauen im reproduktiven Alter zur Dokumentation des epidemiologischen Übergangs von Untergewicht zu Übergewicht.</w:t>
      </w:r>
    </w:p>
    <w:p>
      <w:r>
        <w:rPr>
          <w:b/>
        </w:rPr>
        <w:t xml:space="preserve">Ergebnis: </w:t>
      </w:r>
      <w:r>
        <w:t>Untergewicht-Prävalenz sank um 41,3 %, Übergewicht/Adipositas stieg um 33,6 %. BMI verschob sich um ~5 kg/m². Urban-ländliche Disparität: Untergewicht häufiger rural, Übergewicht häufiger urban. Höheres Alter, mehr Bildung und höherer sozioökonomischer Status assoziiert mit Übergewicht.</w:t>
      </w:r>
    </w:p>
    <w:p>
      <w:r>
        <w:rPr>
          <w:b/>
          <w:sz w:val="19"/>
        </w:rPr>
        <w:t xml:space="preserve">Übertragbarkeit: </w:t>
      </w:r>
      <w:r>
        <w:rPr>
          <w:sz w:val="19"/>
        </w:rPr>
        <w:t>Bangladesch, nationale Repräsentativität über 26 Jahre, globales Muster</w:t>
      </w:r>
    </w:p>
    <w:p>
      <w:r>
        <w:rPr>
          <w:color w:val="5A7D3A"/>
          <w:sz w:val="18"/>
        </w:rPr>
        <w:t>https://pubmed.ncbi.nlm.nih.gov/42922254/</w:t>
      </w:r>
    </w:p>
    <w:p>
      <w:pPr>
        <w:pStyle w:val="Heading1"/>
      </w:pPr>
      <w:r>
        <w:t>Aufgenommen am 26.10.2026</w:t>
      </w:r>
    </w:p>
    <w:p>
      <w:pPr>
        <w:pStyle w:val="Heading2"/>
      </w:pPr>
      <w:r>
        <w:t>Psychische Belastung erschwert Gewichtsabnahme: Adipositasprogramme müssen trauma-informiert werden</w:t>
      </w:r>
    </w:p>
    <w:p>
      <w:r>
        <w:rPr>
          <w:i/>
          <w:color w:val="666666"/>
          <w:sz w:val="18"/>
        </w:rPr>
        <w:t>Rysinova V et al.  ·  Health Expect  ·  Okt. 2026  ·  PMID 42927661</w:t>
      </w:r>
    </w:p>
    <w:p>
      <w:r>
        <w:t>Qualitative Studie mit Interviews von 11 Patienten und 11 Fachleuten aus britischen Tier-2-Gewichtsmanagement-Diensten zur Frage, wie Menschen mit Adipositas und Symptomen psychischer Erkrankungen (Depression, Angststörung, PTBS) Verhaltensänderungen erleben.</w:t>
      </w:r>
    </w:p>
    <w:p>
      <w:r>
        <w:rPr>
          <w:b/>
        </w:rPr>
        <w:t xml:space="preserve">Ergebnis: </w:t>
      </w:r>
      <w:r>
        <w:t>Hauptbarrieren waren emotionale Fluktuation, Stigma, geringe Selbstwirksamkeit und strukturelle Zwänge. Förderlich waren Selbstmitgefühl, emotionale Regulation, kleine erreichbare Ziele, inklusive Gruppen und unterstützende Fachleute-Beziehungen. Die standardisierten, gewichtsfokussierten Programme waren schlecht auf psychische Belastungen ausgerichtet.</w:t>
      </w:r>
    </w:p>
    <w:p>
      <w:r>
        <w:rPr>
          <w:b/>
          <w:sz w:val="19"/>
        </w:rPr>
        <w:t xml:space="preserve">Übertragbarkeit: </w:t>
      </w:r>
      <w:r>
        <w:rPr>
          <w:sz w:val="19"/>
        </w:rPr>
        <w:t>Großbritannien, NHS-Struktur; Empfehlungen auf deutsches Versorgungssystem übertragbar.</w:t>
      </w:r>
    </w:p>
    <w:p>
      <w:r>
        <w:rPr>
          <w:color w:val="5A7D3A"/>
          <w:sz w:val="18"/>
        </w:rPr>
        <w:t>https://pubmed.ncbi.nlm.nih.gov/42927661/</w:t>
      </w:r>
    </w:p>
    <w:p>
      <w:pPr>
        <w:pStyle w:val="Heading2"/>
      </w:pPr>
      <w:r>
        <w:t>Soziale Benachteiligung in der Kindheit erhöht Adipositas-Bluthochdruck-Komorbidität im mittleren Alter</w:t>
      </w:r>
    </w:p>
    <w:p>
      <w:r>
        <w:rPr>
          <w:i/>
          <w:color w:val="666666"/>
          <w:sz w:val="18"/>
        </w:rPr>
        <w:t>Stannard S et al.  ·  J Obes  ·  2026  ·  PMID 42927470</w:t>
      </w:r>
    </w:p>
    <w:p>
      <w:r>
        <w:t>Longitudinale Kohortenstudie mit 9.150 Teilnehmern aus der britischen Geburtskohorte 1958 zur Vorhersage von Adipositas und erhöhtem Blutdruck im Alter von 44 Jahren anhand von fünf Domänen früher Lebensfaktoren.</w:t>
      </w:r>
    </w:p>
    <w:p>
      <w:r>
        <w:rPr>
          <w:b/>
        </w:rPr>
        <w:t xml:space="preserve">Ergebnis: </w:t>
      </w:r>
      <w:r>
        <w:t>Sozioökonomische Faktoren waren der stärkste Domänen-Prädiktor (OR 1,28; 95%-KI 1,19–1,38). Das Gesamtmodell erreichte eine AUC von 0,70. Nach Einbeziehung von Erwachsenenfaktoren blieben robuste Assoziationen für Sozioökonomie, Bildung und Verhalten bestehen.</w:t>
      </w:r>
    </w:p>
    <w:p>
      <w:r>
        <w:rPr>
          <w:b/>
          <w:sz w:val="19"/>
        </w:rPr>
        <w:t xml:space="preserve">Übertragbarkeit: </w:t>
      </w:r>
      <w:r>
        <w:rPr>
          <w:sz w:val="19"/>
        </w:rPr>
        <w:t>Großbritannien, vergleichbare Wohlfahrtssysteme; frühe soziale Prävention relevant für Deutschland.</w:t>
      </w:r>
    </w:p>
    <w:p>
      <w:r>
        <w:rPr>
          <w:color w:val="5A7D3A"/>
          <w:sz w:val="18"/>
        </w:rPr>
        <w:t>https://pubmed.ncbi.nlm.nih.gov/42927470/</w:t>
      </w:r>
    </w:p>
    <w:p>
      <w:pPr>
        <w:pStyle w:val="Heading2"/>
      </w:pPr>
      <w:r>
        <w:t>Psychische Outcomes nach Adipositaschirurgie: Verbesserungen und ernsthafte Belastungen treten gleichzeitig auf</w:t>
      </w:r>
    </w:p>
    <w:p>
      <w:r>
        <w:rPr>
          <w:i/>
          <w:color w:val="666666"/>
          <w:sz w:val="18"/>
        </w:rPr>
        <w:t>El Ansari W et al.  ·  Curr Obes Rep  ·  24.10.2026  ·  PMID 42925358</w:t>
      </w:r>
    </w:p>
    <w:p>
      <w:r>
        <w:t>Scoping Review von 251 Studien zu psychischen Ergebnissen und mentalen Gesundheitsverlauf nach metabolischer und bariatrischer Chirurgie, darunter desirable Outcomes (verbesserte Stimmung, Angst, Body Image) und unerwünschte Outcomes (Suizidalität, Substanzmissbrauch, psychosoziale Belastung).</w:t>
      </w:r>
    </w:p>
    <w:p>
      <w:r>
        <w:rPr>
          <w:b/>
        </w:rPr>
        <w:t xml:space="preserve">Ergebnis: </w:t>
      </w:r>
      <w:r>
        <w:t>Psychische Gewinne und Belastungen koexistierten häufig innerhalb desselben Patienten über Zeit. Verbesserungen bei depressiven und Angststörungen waren größer im ersten Jahr und kleiner danach oder teilweise reversibel. Symptome persistierten oder verschlechterten sich bei Subgruppen. Vorteile unterschieden sich nach Geschlecht, Ethnizität, Alter und psychiatrischer Vorgeschichte. 37 Studien trugen zu beiden Armen bei.</w:t>
      </w:r>
    </w:p>
    <w:p>
      <w:r>
        <w:rPr>
          <w:b/>
          <w:sz w:val="19"/>
        </w:rPr>
        <w:t xml:space="preserve">Übertragbarkeit: </w:t>
      </w:r>
      <w:r>
        <w:rPr>
          <w:sz w:val="19"/>
        </w:rPr>
        <w:t>Internationale Evidenz; biopsychosoziale, multidisziplinäre Langzeitbetreuung essentiell.</w:t>
      </w:r>
    </w:p>
    <w:p>
      <w:r>
        <w:rPr>
          <w:color w:val="5A7D3A"/>
          <w:sz w:val="18"/>
        </w:rPr>
        <w:t>https://pubmed.ncbi.nlm.nih.gov/42925358/</w:t>
      </w:r>
    </w:p>
    <w:p>
      <w:pPr>
        <w:pStyle w:val="Heading2"/>
      </w:pPr>
      <w:r>
        <w:t>Adipositas erhöht Gesundheitsausgaben bei kardiovaskulären Erkrankungen: Kosten bis 1,3-fach höher</w:t>
      </w:r>
    </w:p>
    <w:p>
      <w:r>
        <w:rPr>
          <w:i/>
          <w:color w:val="666666"/>
          <w:sz w:val="18"/>
        </w:rPr>
        <w:t>Zhang Y et al.  ·  J Manag Care Spec Pharm  ·  Nov. 2026  ·  PMID 42925253</w:t>
      </w:r>
    </w:p>
    <w:p>
      <w:r>
        <w:t>Retrospektive Kohortenanalyse mit US-Verwaltungsdaten und elektronischen Patientenakten von 26.430 Personen in Primärprävention und 9.020 in Sekundärprävention (2007–2023) zu Gesundheitsausgaben nach BMI-Kategorie über 5 Jahre Nachbeobachtung.</w:t>
      </w:r>
    </w:p>
    <w:p>
      <w:r>
        <w:rPr>
          <w:b/>
        </w:rPr>
        <w:t xml:space="preserve">Ergebnis: </w:t>
      </w:r>
      <w:r>
        <w:t>Unadjustierte Gesamtausgaben stiegen mit höherer BMI-Klasse konsistent über alle Nachbeobachtungsjahre. Nach Anpassung waren Gesamtkosten bei Adipositas 1,1-fach (Klasse I: ≥30 bis &lt;35 kg/m²) bis 1,3-fach (Klasse III: ≥40 kg/m²) höher als bei Normalgewicht in beiden Kohorten.</w:t>
      </w:r>
    </w:p>
    <w:p>
      <w:r>
        <w:rPr>
          <w:b/>
          <w:sz w:val="19"/>
        </w:rPr>
        <w:t xml:space="preserve">Übertragbarkeit: </w:t>
      </w:r>
      <w:r>
        <w:rPr>
          <w:sz w:val="19"/>
        </w:rPr>
        <w:t>USA, kommerzielle Krankenversicherung; Kostenmuster teilweise übertragbar, aber Erstattungskontexte unterschiedlich.</w:t>
      </w:r>
    </w:p>
    <w:p>
      <w:r>
        <w:rPr>
          <w:color w:val="5A7D3A"/>
          <w:sz w:val="18"/>
        </w:rPr>
        <w:t>https://pubmed.ncbi.nlm.nih.gov/42925253/</w:t>
      </w:r>
    </w:p>
    <w:p>
      <w:pPr>
        <w:pStyle w:val="Heading2"/>
      </w:pPr>
      <w:r>
        <w:t>Motivierende Gesprächsführung bei Übergewicht mit PCOS: BMI sank, Lebensstil verbesserte sich</w:t>
      </w:r>
    </w:p>
    <w:p>
      <w:r>
        <w:rPr>
          <w:i/>
          <w:color w:val="666666"/>
          <w:sz w:val="18"/>
        </w:rPr>
        <w:t>Nejad FK et al.  ·  Rev Bras Ginecol Obstet  ·  20.08.2026  ·  PMID 42923857</w:t>
      </w:r>
    </w:p>
    <w:p>
      <w:r>
        <w:t>Randomisierte kontrollierte Studie mit 60 übergewichtigen Frauen mit PCOS im Iran; Interventionsgruppe erhielt fünf 90-Minuten-Sitzungen motivierende Gesprächsführung, Kontrollgruppe Informationsbroschüre; Nachbeobachtung 12 Wochen.</w:t>
      </w:r>
    </w:p>
    <w:p>
      <w:r>
        <w:rPr>
          <w:b/>
        </w:rPr>
        <w:t xml:space="preserve">Ergebnis: </w:t>
      </w:r>
      <w:r>
        <w:t>In der Interventionsgruppe stieg der Lebensstil-Score signifikant von 121,83±17,44 auf 142,03±14,48 (p&lt;0,001). Der BMI sank von 27,27±1,16 auf 26,50±1,32 (p&lt;0,001). Signifikante Differenzen zwischen Gruppen bei Lebensstil-Score (p=0,003) und BMI (p=0,03).</w:t>
      </w:r>
    </w:p>
    <w:p>
      <w:r>
        <w:rPr>
          <w:b/>
          <w:sz w:val="19"/>
        </w:rPr>
        <w:t xml:space="preserve">Übertragbarkeit: </w:t>
      </w:r>
      <w:r>
        <w:rPr>
          <w:sz w:val="19"/>
        </w:rPr>
        <w:t>Iran, aber Methode (motivierende Gesprächsführung) ist sprachunabhängig und in deutschem Versorgungssystem etabliert.</w:t>
      </w:r>
    </w:p>
    <w:p>
      <w:r>
        <w:rPr>
          <w:color w:val="5A7D3A"/>
          <w:sz w:val="18"/>
        </w:rPr>
        <w:t>https://pubmed.ncbi.nlm.nih.gov/42923857/</w:t>
      </w:r>
    </w:p>
    <w:p>
      <w:pPr>
        <w:pStyle w:val="Heading2"/>
      </w:pPr>
      <w:r>
        <w:t>Essverhalten-Phänotypen zur Früherkennung: Neue Grenzwerte für personalisierte Adipositasbehandlung bei Kindern</w:t>
      </w:r>
    </w:p>
    <w:p>
      <w:r>
        <w:rPr>
          <w:i/>
          <w:color w:val="666666"/>
          <w:sz w:val="18"/>
        </w:rPr>
        <w:t>Kudlek L et al.  ·  Int J Behav Nutr Phys Act  ·  25.07.2026  ·  PMID 42919389</w:t>
      </w:r>
    </w:p>
    <w:p>
      <w:r>
        <w:t>Individuelle Teilnehmerdaten-Metaanalyse von 17 internationalen Studien mit 15.273 Kindern (2–18 Jahre) zur Identifikation von Essverhalten-Phänotypen mittels CEBQ-Subskalen und Ableitung klinisch nutzbarer Grenzwerte.</w:t>
      </w:r>
    </w:p>
    <w:p>
      <w:r>
        <w:rPr>
          <w:b/>
        </w:rPr>
        <w:t xml:space="preserve">Ergebnis: </w:t>
      </w:r>
      <w:r>
        <w:t>AUC-Werte der CEBQ-Subskalen lagen zwischen 0,60 und 0,71. Bester Grenzwert für Mädchen 7–12 Jahre bei Nahrungsreaktivität: 2,6 (Sensitivität 0,81, Spezifität 0,85). Leistung war besser in mittlerer Kindheit als früher Kindheit.</w:t>
      </w:r>
    </w:p>
    <w:p>
      <w:r>
        <w:rPr>
          <w:b/>
          <w:sz w:val="19"/>
        </w:rPr>
        <w:t xml:space="preserve">Übertragbarkeit: </w:t>
      </w:r>
      <w:r>
        <w:rPr>
          <w:sz w:val="19"/>
        </w:rPr>
        <w:t>Internationale Daten; Grenzwerte müssen für deutschsprachigen Raum validiert werden.</w:t>
      </w:r>
    </w:p>
    <w:p>
      <w:r>
        <w:rPr>
          <w:color w:val="5A7D3A"/>
          <w:sz w:val="18"/>
        </w:rPr>
        <w:t>https://pubmed.ncbi.nlm.nih.gov/42919389/</w:t>
      </w:r>
    </w:p>
    <w:p>
      <w:pPr>
        <w:pStyle w:val="Heading1"/>
      </w:pPr>
      <w:r>
        <w:t>Aufgenommen am 25.10.2026</w:t>
      </w:r>
    </w:p>
    <w:p>
      <w:pPr>
        <w:pStyle w:val="Heading2"/>
      </w:pPr>
      <w:r>
        <w:t>Dynamische Änderungen von Adipositas-Indizes sagen kardiovaskuläres Risiko voraus</w:t>
      </w:r>
    </w:p>
    <w:p>
      <w:r>
        <w:rPr>
          <w:i/>
          <w:color w:val="666666"/>
          <w:sz w:val="18"/>
        </w:rPr>
        <w:t>You J et al.  ·  Front Endocrinol (Lausanne)  ·  09.10.2026  ·  PMID 42920460</w:t>
      </w:r>
    </w:p>
    <w:p>
      <w:r>
        <w:t>Prospektive Kohortenstudie mit 19.315 kardiovaskulär-freien Teilnehmern aus der Jinchang-Kohorte in Nordwestchina über median 66 Monate zur Assoziation zwischen Änderungen in sieben Adipositas- und Lipid-Indizes und kardiovaskulärer Inzidenz.</w:t>
      </w:r>
    </w:p>
    <w:p>
      <w:r>
        <w:rPr>
          <w:b/>
        </w:rPr>
        <w:t xml:space="preserve">Ergebnis: </w:t>
      </w:r>
      <w:r>
        <w:t>Über die Nachverfolgung entwickelten 3.200 (16,57%) Teilnehmer kardiovaskuläre Erkrankungen. Die höchsten Änderungsklassen aller Indizes zeigten signifikant erhöhtes Risiko, mit stärksten Assoziationen für TyG-BMI (OR: 3,988; 95%-KI 3,419–4,650), TyG-WC (OR: 3,797) und CVAI (OR: 3,695). CVAI (AUC: 0,642) und kumulatives METS-VF (AUC: 0,659) zeigten höchste prädiktive Fähigkeit.</w:t>
      </w:r>
    </w:p>
    <w:p>
      <w:r>
        <w:rPr>
          <w:b/>
          <w:sz w:val="19"/>
        </w:rPr>
        <w:t xml:space="preserve">Übertragbarkeit: </w:t>
      </w:r>
      <w:r>
        <w:rPr>
          <w:sz w:val="19"/>
        </w:rPr>
        <w:t>China, alternative Adipositas-Indizes, begrenzte Direktübertragbarkeit auf deutsches System.</w:t>
      </w:r>
    </w:p>
    <w:p>
      <w:r>
        <w:rPr>
          <w:color w:val="5A7D3A"/>
          <w:sz w:val="18"/>
        </w:rPr>
        <w:t>https://pubmed.ncbi.nlm.nih.gov/42920460/</w:t>
      </w:r>
    </w:p>
    <w:p>
      <w:pPr>
        <w:pStyle w:val="Heading2"/>
      </w:pPr>
      <w:r>
        <w:t>GLP-1-Rezeptoragonisten senken Knochendichte bei Gewichtsverlust über 6 kg</w:t>
      </w:r>
    </w:p>
    <w:p>
      <w:r>
        <w:rPr>
          <w:i/>
          <w:color w:val="666666"/>
          <w:sz w:val="18"/>
        </w:rPr>
        <w:t>Lai CH et al.  ·  Arch Osteoporos  ·  23.10.2026  ·  PMID 42920024</w:t>
      </w:r>
    </w:p>
    <w:p>
      <w:r>
        <w:t>Systematische Übersichtsarbeit von 8 RCTs mit 493 Patienten zur Bewertung der Knochenmineraldichte (DXA) unter GLP-1-Rezeptoragonisten im Vergleich zu Placebo oder anderen Antidiabetika bei Übergewicht und Adipositas.</w:t>
      </w:r>
    </w:p>
    <w:p>
      <w:r>
        <w:rPr>
          <w:b/>
        </w:rPr>
        <w:t xml:space="preserve">Ergebnis: </w:t>
      </w:r>
      <w:r>
        <w:t>Der einzelne Semaglutide-RCT (n=64, niedriges Verzerrungsrisiko) mit größtem Gewichtsverlust (−6,8 kg) zeigte Reduktion der lumbalen Wirbelsäulen-BMD (−0,018 g/cm², p=0,007) und Ganzkörper-BMD (−0,02 g/cm²; 95%-KI −0,03 bis −0,01). Liraglutide 3,0 mg (n=64, ohne Diabetes) reduzierten lumbale (−0,019 g/cm²) und Hüft-BMD (−0,013 g/cm²). Evidenzsicherheit sehr niedrig für alle Agentien.</w:t>
      </w:r>
    </w:p>
    <w:p>
      <w:r>
        <w:rPr>
          <w:b/>
          <w:sz w:val="19"/>
        </w:rPr>
        <w:t xml:space="preserve">Übertragbarkeit: </w:t>
      </w:r>
      <w:r>
        <w:rPr>
          <w:sz w:val="19"/>
        </w:rPr>
        <w:t>USA/international, nur Skeletteffekt übertragbar, nicht Kostenübernahmestatus.</w:t>
      </w:r>
    </w:p>
    <w:p>
      <w:r>
        <w:rPr>
          <w:color w:val="5A7D3A"/>
          <w:sz w:val="18"/>
        </w:rPr>
        <w:t>https://pubmed.ncbi.nlm.nih.gov/42920024/</w:t>
      </w:r>
    </w:p>
    <w:p>
      <w:pPr>
        <w:pStyle w:val="Heading2"/>
      </w:pPr>
      <w:r>
        <w:t>GLP-1-Rezeptoragonisten reduzieren antipsychotika-assoziiertes Übergewicht um 6,5 kg</w:t>
      </w:r>
    </w:p>
    <w:p>
      <w:r>
        <w:rPr>
          <w:i/>
          <w:color w:val="666666"/>
          <w:sz w:val="18"/>
        </w:rPr>
        <w:t>Zhou L et al.  ·  Eur J Clin Pharmacol  ·  24.10.2026  ·  PMID 42920001</w:t>
      </w:r>
    </w:p>
    <w:p>
      <w:r>
        <w:t>Systematische Übersichtsarbeit mit Metaanalyse von 8 RCTs mit 535 Patienten, die GLP-1-Rezeptoragonisten gegen Placebo oder Vergleichstherapie bei Patienten unter antipsychotischer Behandlung prüften.</w:t>
      </w:r>
    </w:p>
    <w:p>
      <w:r>
        <w:rPr>
          <w:b/>
        </w:rPr>
        <w:t xml:space="preserve">Ergebnis: </w:t>
      </w:r>
      <w:r>
        <w:t>GLP-1-Agonisten führten zu signifikanten Reduktionen von Körpergewicht (mittlere Differenz −6,54 kg; 95%-KI −9,80 bis −3,29), BMI (−2,34 kg/m²; 95%-KI −3,34 bis −1,34), HbA1c (−0,32%; 95%-KI −0,39 bis −0,26) und Taillenumfang (−5,22 cm; 95%-KI −6,55 bis −3,88). Nausea, Erbrechen und Obstipation traten häufiger auf, ernsthafte Nebenwirkungen nicht signifikant erhöht.</w:t>
      </w:r>
    </w:p>
    <w:p>
      <w:r>
        <w:rPr>
          <w:b/>
          <w:sz w:val="19"/>
        </w:rPr>
        <w:t xml:space="preserve">Übertragbarkeit: </w:t>
      </w:r>
      <w:r>
        <w:rPr>
          <w:sz w:val="19"/>
        </w:rPr>
        <w:t>Chinesische Studie, internationale Datenbank, Transferbarkeit auf deutsches System begrenzt durch Kostenübernahmeregelung.</w:t>
      </w:r>
    </w:p>
    <w:p>
      <w:r>
        <w:rPr>
          <w:color w:val="5A7D3A"/>
          <w:sz w:val="18"/>
        </w:rPr>
        <w:t>https://pubmed.ncbi.nlm.nih.gov/42920001/</w:t>
      </w:r>
    </w:p>
    <w:p>
      <w:pPr>
        <w:pStyle w:val="Heading2"/>
      </w:pPr>
      <w:r>
        <w:t>Erhöhtes BMI führt zu mehr Muskelskelettstörungen bei Landwirten</w:t>
      </w:r>
    </w:p>
    <w:p>
      <w:r>
        <w:rPr>
          <w:i/>
          <w:color w:val="666666"/>
          <w:sz w:val="18"/>
        </w:rPr>
        <w:t>Kaewsanmung S et al.  ·  BMC Public Health  ·  28.07.2026  ·  PMID 42919265</w:t>
      </w:r>
    </w:p>
    <w:p>
      <w:r>
        <w:t>Systematische Übersichtsarbeit von 19 Studien zur Assoziation zwischen BMI und Muskelskelettstörungen (MSDs) bei Landarbeitern mit Fokus auf angepasste Effektschätzer aus Cross-sectional-, Kohorten- und Fall-Kontroll-Studien.</w:t>
      </w:r>
    </w:p>
    <w:p>
      <w:r>
        <w:rPr>
          <w:b/>
        </w:rPr>
        <w:t xml:space="preserve">Ergebnis: </w:t>
      </w:r>
      <w:r>
        <w:t>Die Mehrzahl der Evidenz zeigt, dass erhöhtes BMI mit erhöhtem Risiko für MSDs verbunden ist, besonders im Rücken, Becken und unteren Extremitäten. Zwei Studien identifizierten höheres BMI als protektiven Faktor gegen MSDs im oberen Rücken. NHLBI-Qualitätsitems lagen zwischen 36 % und 78 %.</w:t>
      </w:r>
    </w:p>
    <w:p>
      <w:r>
        <w:rPr>
          <w:b/>
          <w:sz w:val="19"/>
        </w:rPr>
        <w:t xml:space="preserve">Übertragbarkeit: </w:t>
      </w:r>
      <w:r>
        <w:rPr>
          <w:sz w:val="19"/>
        </w:rPr>
        <w:t>Internationale Daten, agrarberufliche Population, Ergebnisse auf deutsche Landwirtschaft übertragbar.</w:t>
      </w:r>
    </w:p>
    <w:p>
      <w:r>
        <w:rPr>
          <w:color w:val="5A7D3A"/>
          <w:sz w:val="18"/>
        </w:rPr>
        <w:t>https://pubmed.ncbi.nlm.nih.gov/42919265/</w:t>
      </w:r>
    </w:p>
    <w:p>
      <w:pPr>
        <w:pStyle w:val="Heading2"/>
      </w:pPr>
      <w:r>
        <w:t>Höheres mütterliches BMI erhöht Oxytocin-Bedarf bei Geburtseinleitung</w:t>
      </w:r>
    </w:p>
    <w:p>
      <w:r>
        <w:rPr>
          <w:i/>
          <w:color w:val="666666"/>
          <w:sz w:val="18"/>
        </w:rPr>
        <w:t>Bladfält N et al.  ·  Am J Obstet Gynecol MFM  ·  07.09.2026  ·  PMID 42705385</w:t>
      </w:r>
    </w:p>
    <w:p>
      <w:r>
        <w:t>Prospektive Kohortenstudie mit 1163 schwangeren Frauen in Schweden, die eine geplante Geburtseinleitung mit Oxytocin erhielten, zur Untersuchung der Assoziation zwischen maternalem BMI und kumulativer Oxytocin-Dosis sowie maximaler Infusionsgeschwindigkeit.</w:t>
      </w:r>
    </w:p>
    <w:p>
      <w:r>
        <w:rPr>
          <w:b/>
        </w:rPr>
        <w:t xml:space="preserve">Ergebnis: </w:t>
      </w:r>
      <w:r>
        <w:t>Die durchschnittliche kumulative Oxytocin-Dosis stieg progressiv über BMI-Kategorien an (Normalgewicht: 6.230 mU, Übergewicht: 7.410 mU, Adipositas Klasse I: 8.698 mU, Adipositas Klasse II-III: 10.128 mU; p &lt; 0,001). Die maximale Infusionsgeschwindigkeit erhöhte sich ebenfalls mit BMI (Normalgewicht: 17,2 mU/min, Adipositas Klasse II-III: 24,1 mU/min; p &lt; 0,001). Höhere BMI-Werte waren unabhängig mit reduzierter Oxytocin-Responsivität und höheren Anforderungen assoziiert.</w:t>
      </w:r>
    </w:p>
    <w:p>
      <w:r>
        <w:rPr>
          <w:b/>
          <w:sz w:val="19"/>
        </w:rPr>
        <w:t xml:space="preserve">Übertragbarkeit: </w:t>
      </w:r>
      <w:r>
        <w:rPr>
          <w:sz w:val="19"/>
        </w:rPr>
        <w:t>Schwedische Bevölkerungsdaten, vergleichbares Sozialversicherungssystem.</w:t>
      </w:r>
    </w:p>
    <w:p>
      <w:r>
        <w:rPr>
          <w:color w:val="5A7D3A"/>
          <w:sz w:val="18"/>
        </w:rPr>
        <w:t>https://pubmed.ncbi.nlm.nih.gov/42705385/</w:t>
      </w:r>
    </w:p>
    <w:p>
      <w:pPr>
        <w:pStyle w:val="Heading2"/>
      </w:pPr>
      <w:r>
        <w:t>Genotyp der Phenylketonurie sagt Adipositas-Risiko im Erwachsenenalter voraus</w:t>
      </w:r>
    </w:p>
    <w:p>
      <w:r>
        <w:rPr>
          <w:i/>
          <w:color w:val="666666"/>
          <w:sz w:val="18"/>
        </w:rPr>
        <w:t>Tummolo A et al.  ·  Genes (Basel)  ·  24.07.2026  ·  PMID 42650054</w:t>
      </w:r>
    </w:p>
    <w:p>
      <w:r>
        <w:t>Retrospektive Kohortenstudie mit 344 Patienten mit Phenylketonurie über mindestens 10 Jahre Nachverfolgung in Süditalien zur Kartierung der PAH-Varianten und deren Assoziation mit klinischen Phänotypen und langfristigem BMI.</w:t>
      </w:r>
    </w:p>
    <w:p>
      <w:r>
        <w:rPr>
          <w:b/>
        </w:rPr>
        <w:t xml:space="preserve">Ergebnis: </w:t>
      </w:r>
      <w:r>
        <w:t>Klassische PKU-Patienten im Erwachsenenalter zeigten ein vierfach erhöhtes Adipositas-Risiko (p &lt; 0,05), getrieben durch schwere Null-Allele, die auf lebenslange Abhängigkeit von Engineering-Lebensmitteln mit niedriger Proteinzufuhr hinweisen. Geografische Stratifizierung der Mutationen spiegelte historische Migrationen wider.</w:t>
      </w:r>
    </w:p>
    <w:p>
      <w:r>
        <w:rPr>
          <w:b/>
          <w:sz w:val="19"/>
        </w:rPr>
        <w:t xml:space="preserve">Übertragbarkeit: </w:t>
      </w:r>
      <w:r>
        <w:rPr>
          <w:sz w:val="19"/>
        </w:rPr>
        <w:t>Süditalien, vergleichbare europäische Versorgungsstruktur für seltene Stoffwechselerkrankungen.</w:t>
      </w:r>
    </w:p>
    <w:p>
      <w:r>
        <w:rPr>
          <w:color w:val="5A7D3A"/>
          <w:sz w:val="18"/>
        </w:rPr>
        <w:t>https://pubmed.ncbi.nlm.nih.gov/42650054/</w:t>
      </w:r>
    </w:p>
    <w:p>
      <w:pPr>
        <w:pStyle w:val="Heading1"/>
      </w:pPr>
      <w:r>
        <w:t>Aufgenommen am 24.10.2026</w:t>
      </w:r>
    </w:p>
    <w:p>
      <w:pPr>
        <w:pStyle w:val="Heading2"/>
      </w:pPr>
      <w:r>
        <w:t>Neuseeländer: Adipositasmedikamente annehmbar, aber Sorgen um Kosten und Langzeitfolgen hemmen Nutzung</w:t>
      </w:r>
    </w:p>
    <w:p>
      <w:r>
        <w:rPr>
          <w:i/>
          <w:color w:val="666666"/>
          <w:sz w:val="18"/>
        </w:rPr>
        <w:t>Taylor T et al.  ·  N Z Med J  ·  23.10.2026  ·  PMID 42912969</w:t>
      </w:r>
    </w:p>
    <w:p>
      <w:r>
        <w:t>Querschnittsumfrage (n=216 Māori und Pacific-Erwachsene, 190 mit Übergewicht/Adipositas) zur Akzeptanz von Adipositasmedikamenten; multivariable logistische Regression und Mediationsanalyse.</w:t>
      </w:r>
    </w:p>
    <w:p>
      <w:r>
        <w:rPr>
          <w:b/>
        </w:rPr>
        <w:t xml:space="preserve">Ergebnis: </w:t>
      </w:r>
      <w:r>
        <w:t>Mehrheit betrachtete Adipositasmedikamente als akzeptabel. Häufige Sorgen: Kosten, Wirksamkeit, nachträgliche Gewichtszunahme, unbekannte Körperauswirkungen, Langzeitabhängigkeit. Verabreichungsweg (oral vs. Injektion) war signifikanter Mediator ethnischer Unterschiede; Pacific-Teilnehmer höheres Bedenken als Māori. Geschlechtsmuster ähnlich, aber begrenzte männliche Teilnehmerzahl.</w:t>
      </w:r>
    </w:p>
    <w:p>
      <w:r>
        <w:rPr>
          <w:b/>
          <w:sz w:val="19"/>
        </w:rPr>
        <w:t xml:space="preserve">Übertragbarkeit: </w:t>
      </w:r>
      <w:r>
        <w:rPr>
          <w:sz w:val="19"/>
        </w:rPr>
        <w:t>Neuseeland; ethnische Unterschiede in Arzneimittel-Akzeptanz, aber Kostenbarriere ist deutsches Problem (§34 SGB V).</w:t>
      </w:r>
    </w:p>
    <w:p>
      <w:r>
        <w:rPr>
          <w:color w:val="5A7D3A"/>
          <w:sz w:val="18"/>
        </w:rPr>
        <w:t>https://pubmed.ncbi.nlm.nih.gov/42912969/</w:t>
      </w:r>
    </w:p>
    <w:p>
      <w:pPr>
        <w:pStyle w:val="Heading2"/>
      </w:pPr>
      <w:r>
        <w:t>Südasia: körperliche Inaktivität und Ernährung sind Hauptfaktoren für Adoleszenten-Adipositas</w:t>
      </w:r>
    </w:p>
    <w:p>
      <w:r>
        <w:rPr>
          <w:i/>
          <w:color w:val="666666"/>
          <w:sz w:val="18"/>
        </w:rPr>
        <w:t>Siddiquee T et al.  ·  Endocrinol Diabetes Metab  ·  Nov. 2026  ·  PMID 42912841</w:t>
      </w:r>
    </w:p>
    <w:p>
      <w:r>
        <w:t>Narrative Übersicht (13 Publikationen, 2015–August 2026) über Prävalenz und Faktoren der Adipositas bei 10–19-Jährigen in Südasia; separate Analyse primärer Studien (n=8) und systematischer Reviews (n=5).</w:t>
      </w:r>
    </w:p>
    <w:p>
      <w:r>
        <w:rPr>
          <w:b/>
        </w:rPr>
        <w:t xml:space="preserve">Ergebnis: </w:t>
      </w:r>
      <w:r>
        <w:t>Regionale Meta-Analysen: 12,4% Übergewicht, 6,6% Adipositas, 19,3% kombiniert. Konsistente Evidenz für körperliche Inaktivität, Sedentarismus und ungesunde Ernährung. Sozioökonomische Position, Urbanisierung, Geschlecht, Familie und Medienexposition zeigten heterogene, kontextabhängige Assoziationen. Schlaf, psychische Gesundheit, Nahrungsunsicherheit und Nachbarschaftsfaktoren waren unzureichend untersucht.</w:t>
      </w:r>
    </w:p>
    <w:p>
      <w:r>
        <w:rPr>
          <w:b/>
          <w:sz w:val="19"/>
        </w:rPr>
        <w:t xml:space="preserve">Übertragbarkeit: </w:t>
      </w:r>
      <w:r>
        <w:rPr>
          <w:sz w:val="19"/>
        </w:rPr>
        <w:t>Südasien; regionale Prävention erfordert lokal angepasste Ansätze, nicht universal übertragbar.</w:t>
      </w:r>
    </w:p>
    <w:p>
      <w:r>
        <w:rPr>
          <w:color w:val="5A7D3A"/>
          <w:sz w:val="18"/>
        </w:rPr>
        <w:t>https://pubmed.ncbi.nlm.nih.gov/42912841/</w:t>
      </w:r>
    </w:p>
    <w:p>
      <w:pPr>
        <w:pStyle w:val="Heading2"/>
      </w:pPr>
      <w:r>
        <w:t>Emotionsregulation in Familientherapie reduziert Gewichtsverlust-Rückgewinn bei Jugendlichen</w:t>
      </w:r>
    </w:p>
    <w:p>
      <w:r>
        <w:rPr>
          <w:i/>
          <w:color w:val="666666"/>
          <w:sz w:val="18"/>
        </w:rPr>
        <w:t>Boutelle KN et al.  ·  JAMA Netw Open  ·  01.10.2026  ·  PMID 42911592</w:t>
      </w:r>
    </w:p>
    <w:p>
      <w:r>
        <w:t>Randomisierte Studie (n=166 Jugendliche, 13-16 Jahre) verglich Familientherapie mit zusätzlichem Emotionsregulations-Training gegen Standardtherapie; primärer Endpunkt war BMI-Änderung über 6 Monate mit 12-Monats-Nachverfolgung.</w:t>
      </w:r>
    </w:p>
    <w:p>
      <w:r>
        <w:rPr>
          <w:b/>
        </w:rPr>
        <w:t xml:space="preserve">Ergebnis: </w:t>
      </w:r>
      <w:r>
        <w:t>Kein signifikanter Unterschied in Gewichtsverlust unter Behandlung (Differenz BMI-z-Score: 0,03). Nach 12 Monaten zeigte die Emotionsgruppe weniger Gewichtszunahme (−0,09 BMI-z-Score), 22% erreichten klinisch signifikante Gewichtsverluste versus 4% in Standardtherapie. Emotionales Essen war in der Emotionsgruppe niedriger.</w:t>
      </w:r>
    </w:p>
    <w:p>
      <w:r>
        <w:rPr>
          <w:b/>
          <w:sz w:val="19"/>
        </w:rPr>
        <w:t xml:space="preserve">Übertragbarkeit: </w:t>
      </w:r>
      <w:r>
        <w:rPr>
          <w:sz w:val="19"/>
        </w:rPr>
        <w:t>USA; Familientherapie-Modell ist mit deutschen ambulanten psychosomatischen Programmen vergleichbar.</w:t>
      </w:r>
    </w:p>
    <w:p>
      <w:r>
        <w:rPr>
          <w:color w:val="5A7D3A"/>
          <w:sz w:val="18"/>
        </w:rPr>
        <w:t>https://pubmed.ncbi.nlm.nih.gov/42911592/</w:t>
      </w:r>
    </w:p>
    <w:p>
      <w:pPr>
        <w:pStyle w:val="Heading2"/>
      </w:pPr>
      <w:r>
        <w:t>Gestationszunahme außerhalb Normbereich erhöht schwere Mütter-Morbidität</w:t>
      </w:r>
    </w:p>
    <w:p>
      <w:r>
        <w:rPr>
          <w:i/>
          <w:color w:val="666666"/>
          <w:sz w:val="18"/>
        </w:rPr>
        <w:t>Khademioore S et al.  ·  JAMA Netw Open  ·  01.10.2026  ·  PMID 42911590</w:t>
      </w:r>
    </w:p>
    <w:p>
      <w:r>
        <w:t>Retrospektive Kohortenstudie (n=1.035.927 Singleton-Schwangerschaften) mit Geburts-Registerdaten (Ontario, Kanada, 2012-2022); Exposition: Gewichtszunahme nach IOM-Kategorien; Outcome: schwere Mütter-Morbidität (SMM).</w:t>
      </w:r>
    </w:p>
    <w:p>
      <w:r>
        <w:rPr>
          <w:b/>
        </w:rPr>
        <w:t xml:space="preserve">Ergebnis: </w:t>
      </w:r>
      <w:r>
        <w:t>SMM trat bei 14,59 pro 1000 Geburten auf. Excessive Gewichtszunahme war über alle BMI-Kategorien mit erhöhter SMM assoziiert (z.B. normal: adjustierte Ratenratio 1,24, 95%-KI 1,17–1,31). Inadäquate Zunahme erhöhte SMM bei Normalgewicht (aRR 1,13) und Übergewicht (aRR 1,19). Nicht-lineare Assoziationen je nach BMI-Kategorie.</w:t>
      </w:r>
    </w:p>
    <w:p>
      <w:r>
        <w:rPr>
          <w:b/>
          <w:sz w:val="19"/>
        </w:rPr>
        <w:t xml:space="preserve">Übertragbarkeit: </w:t>
      </w:r>
      <w:r>
        <w:rPr>
          <w:sz w:val="19"/>
        </w:rPr>
        <w:t>Kanada, vergleichbares Gesundheitssystem; Geburts-Registerdaten übertragbar auf deutsches Setting.</w:t>
      </w:r>
    </w:p>
    <w:p>
      <w:r>
        <w:rPr>
          <w:color w:val="5A7D3A"/>
          <w:sz w:val="18"/>
        </w:rPr>
        <w:t>https://pubmed.ncbi.nlm.nih.gov/42911590/</w:t>
      </w:r>
    </w:p>
    <w:p>
      <w:pPr>
        <w:pStyle w:val="Heading2"/>
      </w:pPr>
      <w:r>
        <w:t>Arbeitsplatz-Lebensstileprogramm senkte metabolisches Syndrom trotz Implementierungs-Hürden</w:t>
      </w:r>
    </w:p>
    <w:p>
      <w:r>
        <w:rPr>
          <w:i/>
          <w:color w:val="666666"/>
          <w:sz w:val="18"/>
        </w:rPr>
        <w:t>Bogale SK et al.  ·  Front Public Health  ·  07.10.2026  ·  PMID 42909154</w:t>
      </w:r>
    </w:p>
    <w:p>
      <w:r>
        <w:t>Mixed-Methods-Evaluation (n=226 Beschäftigte, Cluster-randomisiert) einer 9-Monatigen Arbeitsplatz-Intervention zur Metabolisches-Syndrom-Reduktion in Äthiopien; Implementierungstreue nach Programme Integrity Framework; Kontextfaktoren nach CFIR.</w:t>
      </w:r>
    </w:p>
    <w:p>
      <w:r>
        <w:rPr>
          <w:b/>
        </w:rPr>
        <w:t xml:space="preserve">Ergebnis: </w:t>
      </w:r>
      <w:r>
        <w:t>Hohe Implementierungstreue über Adhärenz, Exposition, Qualität und Teilnehmerresponse. Signifikante Metabolisches-Syndrom-Reduktion und Verhaltensverbesserungen in Interventionsgruppe. Implementierungs-Barrieren: unsupportive Organisationskultur, schwache Führungsunterstützung, begrenzte externe Policy-Rückhalt, Ressourcenmangel, misalignierte Communitynormen. Nachhaltige Skalierung erfordert Task-Sharing und Policy-Integration.</w:t>
      </w:r>
    </w:p>
    <w:p>
      <w:r>
        <w:rPr>
          <w:b/>
          <w:sz w:val="19"/>
        </w:rPr>
        <w:t xml:space="preserve">Übertragbarkeit: </w:t>
      </w:r>
      <w:r>
        <w:rPr>
          <w:sz w:val="19"/>
        </w:rPr>
        <w:t>Äthiopien, Erwerbstätigengruppe; Arbeitsplatz-Modell ist auf deutsche Betriebliche Gesundheitsförderung übertragbar.</w:t>
      </w:r>
    </w:p>
    <w:p>
      <w:r>
        <w:rPr>
          <w:color w:val="5A7D3A"/>
          <w:sz w:val="18"/>
        </w:rPr>
        <w:t>https://pubmed.ncbi.nlm.nih.gov/42909154/</w:t>
      </w:r>
    </w:p>
    <w:p>
      <w:pPr>
        <w:pStyle w:val="Heading2"/>
      </w:pPr>
      <w:r>
        <w:t>Familie und Gemeinschaft verschärfen Stigma und psychische Belastung von übergewichtigen Mädchen</w:t>
      </w:r>
    </w:p>
    <w:p>
      <w:r>
        <w:rPr>
          <w:i/>
          <w:color w:val="666666"/>
          <w:sz w:val="18"/>
        </w:rPr>
        <w:t>Bahathig A et al.  ·  Front Public Health  ·  07.10.2026  ·  PMID 42908972</w:t>
      </w:r>
    </w:p>
    <w:p>
      <w:r>
        <w:t>Qualitative Studie mit 30 weiblichen Jugendlichen (12-19 Jahre, 57% adipös, 43% übergewichtig); halbstrukturierte Interviews zu Familieneinflüssen, Kritik und psychischem Wohlbefinden.</w:t>
      </w:r>
    </w:p>
    <w:p>
      <w:r>
        <w:rPr>
          <w:b/>
        </w:rPr>
        <w:t xml:space="preserve">Ergebnis: </w:t>
      </w:r>
      <w:r>
        <w:t>Vier Themen identifiziert: (1) Essstörungszyklus aus Diäten und Überessen (n=16); (2) Kritik von Familie und Gemeinschaft (n=20); (3) psychologische Folgen wie niedriges Selbstwertgefühl, soziale Isolation (n=25), Sorgen um Kleidung und Ehe (n=22); (4) Bewältigungsstrategien. Negative Kommentare waren demotivierend, positive gesundheitsbezogene waren motivierend.</w:t>
      </w:r>
    </w:p>
    <w:p>
      <w:r>
        <w:rPr>
          <w:b/>
          <w:sz w:val="19"/>
        </w:rPr>
        <w:t xml:space="preserve">Übertragbarkeit: </w:t>
      </w:r>
      <w:r>
        <w:rPr>
          <w:sz w:val="19"/>
        </w:rPr>
        <w:t>Saudi-Arabien; Stigma-Dynamik in traditionellen Gesellschaften, aber psychische Belastung universell relevant.</w:t>
      </w:r>
    </w:p>
    <w:p>
      <w:r>
        <w:rPr>
          <w:color w:val="5A7D3A"/>
          <w:sz w:val="18"/>
        </w:rPr>
        <w:t>https://pubmed.ncbi.nlm.nih.gov/42908972/</w:t>
      </w:r>
    </w:p>
    <w:p>
      <w:pPr>
        <w:pStyle w:val="Heading2"/>
      </w:pPr>
      <w:r>
        <w:t>Fastintherapie senkt Blutdruck dysglykämischer Patienten unabhängig von Gewichtsverlust</w:t>
      </w:r>
    </w:p>
    <w:p>
      <w:r>
        <w:rPr>
          <w:i/>
          <w:color w:val="666666"/>
          <w:sz w:val="18"/>
        </w:rPr>
        <w:t>Ye Z et al.  ·  Front Endocrinol (Lausanne)  ·  07.10.2026  ·  PMID 42908842</w:t>
      </w:r>
    </w:p>
    <w:p>
      <w:r>
        <w:t>Retrospektive Kohortenstudie (n=833 dysglykämische Erwachsene) zu modifiziertem Fasten; Blutdruck, Gewicht und Laborparameter vor/nach Intervention gemessen; lineare mixed models und Mediationsanalyse.</w:t>
      </w:r>
    </w:p>
    <w:p>
      <w:r>
        <w:rPr>
          <w:b/>
        </w:rPr>
        <w:t xml:space="preserve">Ergebnis: </w:t>
      </w:r>
      <w:r>
        <w:t>Fasten senkte systolischen Blutdruck um 7,73 mmHg (95%-KI −8,64 bis −6,82) und diastolischen um 4,76 mmHg (95%-KI −5,39 bis −4,12), beide p&lt;0,001. Gewichtsverlust mediierte nicht signifikant die Blutdruckreduktion (indirekter Effekt SBP: −0,22, p=0,588). Effekt wurde modifiziert durch Alter, Geschlecht und Baseline-HbA1c; größere Reduktionen bei jüngeren, männlichen Patienten und höherem HbA1c.</w:t>
      </w:r>
    </w:p>
    <w:p>
      <w:r>
        <w:rPr>
          <w:b/>
          <w:sz w:val="19"/>
        </w:rPr>
        <w:t xml:space="preserve">Übertragbarkeit: </w:t>
      </w:r>
      <w:r>
        <w:rPr>
          <w:sz w:val="19"/>
        </w:rPr>
        <w:t>China; Fasten-Effekt auf Blutdruck ist mechanistisch unabhängig vom Gewicht, Design auf deutsches Setting anwendbar.</w:t>
      </w:r>
    </w:p>
    <w:p>
      <w:r>
        <w:rPr>
          <w:color w:val="5A7D3A"/>
          <w:sz w:val="18"/>
        </w:rPr>
        <w:t>https://pubmed.ncbi.nlm.nih.gov/42908842/</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