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Diabetes</w:t>
      </w:r>
    </w:p>
    <w:p>
      <w:r>
        <w:rPr>
          <w:i/>
          <w:color w:val="666666"/>
          <w:sz w:val="18"/>
        </w:rPr>
        <w:t>Stand: 23.09.2026  |  6 Studien  |  diabetes.m-vf.de</w:t>
      </w:r>
    </w:p>
    <w:p>
      <w:pPr>
        <w:pStyle w:val="Heading1"/>
      </w:pPr>
      <w:r>
        <w:t>Aufgenommen am 23.09.2026</w:t>
      </w:r>
    </w:p>
    <w:p>
      <w:pPr>
        <w:pStyle w:val="Heading2"/>
      </w:pPr>
      <w:r>
        <w:t>Praktischer Konsens: Omnipod-5-Initialisierung bei T1D-Erwachsenen in Italien</w:t>
      </w:r>
    </w:p>
    <w:p>
      <w:r>
        <w:rPr>
          <w:i/>
          <w:color w:val="666666"/>
          <w:sz w:val="18"/>
        </w:rPr>
        <w:t>Molfetta SD et al.  ·  Diabetes Res Clin Pract  ·  22.09.2026  ·  PMID 42772375</w:t>
      </w:r>
    </w:p>
    <w:p>
      <w:r>
        <w:t>Delphi-Konsens-Panel mit 18 italienischen Diabetologen zur Optimierung der Omnipod-5-Nutzung bei T1D-Erwachsenen.</w:t>
      </w:r>
    </w:p>
    <w:p>
      <w:r>
        <w:rPr>
          <w:b/>
        </w:rPr>
        <w:t xml:space="preserve">Ergebnis: </w:t>
      </w:r>
      <w:r>
        <w:t>48 von 58 Konsens-Aussagen erreicht über fünf Domänen: Initialeinstellungen, Hyperglykämie-, Hypoglykämie- und Mahlzeitenmanagement, körperliche Aktivität. Konkrete Empfehlungen zu Insulinwirkungsdauer, Reverse-Correction-Konfiguration und Problemlösung bei hochfettigen/hochproteinhaltigen Mahlzeiten.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 mit vergleichbarem Gesundheitssystem; Omnipod 5 in Deutschland unter Erstattungsvorbehalt.</w:t>
      </w:r>
    </w:p>
    <w:p>
      <w:r>
        <w:rPr>
          <w:color w:val="5A7D3A"/>
          <w:sz w:val="18"/>
        </w:rPr>
        <w:t>https://pubmed.ncbi.nlm.nih.gov/42772375/</w:t>
      </w:r>
    </w:p>
    <w:p>
      <w:pPr>
        <w:pStyle w:val="Heading2"/>
      </w:pPr>
      <w:r>
        <w:t>LADA in Kanada: Insulinzeitpunkt und Komplikationen – Patient-Reported Outcomes</w:t>
      </w:r>
    </w:p>
    <w:p>
      <w:r>
        <w:rPr>
          <w:i/>
          <w:color w:val="666666"/>
          <w:sz w:val="18"/>
        </w:rPr>
        <w:t>Nehme M et al.  ·  J Diabetes Complications  ·  16.09.2026  ·  PMID 42772156</w:t>
      </w:r>
    </w:p>
    <w:p>
      <w:r>
        <w:t>Querschnittsanalyse von 426 kanadischen LADA-Patienten im BETTER-Register zu Phänotyp, Insulinbehandlung und diabetischen Komplikationen.</w:t>
      </w:r>
    </w:p>
    <w:p>
      <w:r>
        <w:rPr>
          <w:b/>
        </w:rPr>
        <w:t xml:space="preserve">Ergebnis: </w:t>
      </w:r>
      <w:r>
        <w:t>94,6 % nutzen Insulin, median 7 Monate bis Insulinstart nach Diagnose. Häufigkeit von Hypoglykämien im Vormonat 59,7 %, Neuropathie 16,1 %, Nephropathie 11,5 %, DKA in 12 Monaten 8,7 %, kardiovaskulär 5,0 %. Kein statistisch signifikanter Zusammenhang zwischen Insulinzeitpunkt und Komplikationen (OR 0,999–1,022).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 (Medicare), ähnliche Versorgungsstruktur wie deutschsprachige Länder.</w:t>
      </w:r>
    </w:p>
    <w:p>
      <w:r>
        <w:rPr>
          <w:color w:val="5A7D3A"/>
          <w:sz w:val="18"/>
        </w:rPr>
        <w:t>https://pubmed.ncbi.nlm.nih.gov/42772156/</w:t>
      </w:r>
    </w:p>
    <w:p>
      <w:pPr>
        <w:pStyle w:val="Heading2"/>
      </w:pPr>
      <w:r>
        <w:t>Genetische Links zwischen Insulinsekretion, -resistenz und Typ-1-Diabetes</w:t>
      </w:r>
    </w:p>
    <w:p>
      <w:r>
        <w:rPr>
          <w:i/>
          <w:color w:val="666666"/>
          <w:sz w:val="18"/>
        </w:rPr>
        <w:t>Fu Q et al.  ·  Diabetologia  ·  22.09.2026  ·  PMID 42771182</w:t>
      </w:r>
    </w:p>
    <w:p>
      <w:r>
        <w:t>Multi-ancestry GWAS-Metaanalyse mit 26.198 T1D-Fällen und 36.733 Kontrollen zur Identifikation genetischer Loci, die T1D-Risiko mit Insulinstoffwechsel verbinden.</w:t>
      </w:r>
    </w:p>
    <w:p>
      <w:r>
        <w:rPr>
          <w:b/>
        </w:rPr>
        <w:t xml:space="preserve">Ergebnis: </w:t>
      </w:r>
      <w:r>
        <w:t>69 nicht-HLA-Regionen identifiziert, davon 26 (38 %) mit Insulinsekretion oder -resistenzmarkern assoziiert. Drei neue Signale: rs2179781 (AHI1, OR 1,074, p=1,19×10−8), rs10117059 (TRAF1, OR 1,074, p=3,95×10−8), rs7184802 (ADCY7, OR 1,089, p=4,12×10−8). ADCY7-Störung beeinflusste in β-Zellen bidirektional Insulinsekretion und Zytokin-induzierte Apoptose.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Grundlagenforschung (Belgien, Schweiz), mechanistische Erkenntnisse ohne unmittelbaren klinischen Einsatz.</w:t>
      </w:r>
    </w:p>
    <w:p>
      <w:r>
        <w:rPr>
          <w:color w:val="5A7D3A"/>
          <w:sz w:val="18"/>
        </w:rPr>
        <w:t>https://pubmed.ncbi.nlm.nih.gov/42771182/</w:t>
      </w:r>
    </w:p>
    <w:p>
      <w:pPr>
        <w:pStyle w:val="Heading2"/>
      </w:pPr>
      <w:r>
        <w:t>Leitlinie: CGM und Insulinpumpen im Krankenhaus – praktische Empfehlungen</w:t>
      </w:r>
    </w:p>
    <w:p>
      <w:r>
        <w:rPr>
          <w:i/>
          <w:color w:val="666666"/>
          <w:sz w:val="18"/>
        </w:rPr>
        <w:t>Olsen MT et al.  ·  Diabetologia  ·  22.09.2026  ·  PMID 42771181</w:t>
      </w:r>
    </w:p>
    <w:p>
      <w:r>
        <w:t>Internationale Posititionserklärung mit 23 Experten zur sicheren Nutzung von CGM, Insulinpumpen und automatisierten Insulinabgabesystemen bei stationären Patienten ohne kritische Erkrankung.</w:t>
      </w:r>
    </w:p>
    <w:p>
      <w:r>
        <w:rPr>
          <w:b/>
        </w:rPr>
        <w:t xml:space="preserve">Ergebnis: </w:t>
      </w:r>
      <w:r>
        <w:t>Konsens-Empfehlungen zu Auswahlkriterien, CGM-Alarmgrenzen, Insulintitration, perioperativer Versorgung, klinischem Schulungsbedarf und Elektronischer-Gesundheits-Akte-Integration. Spezifische Workarounds für sechs Insulinpumpensysteme genannt.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und nordamerikanische Kliniken, direkt übertragbar auf deutsche Krankenhäuser.</w:t>
      </w:r>
    </w:p>
    <w:p>
      <w:r>
        <w:rPr>
          <w:color w:val="5A7D3A"/>
          <w:sz w:val="18"/>
        </w:rPr>
        <w:t>https://pubmed.ncbi.nlm.nih.gov/42771181/</w:t>
      </w:r>
    </w:p>
    <w:p>
      <w:pPr>
        <w:pStyle w:val="Heading2"/>
      </w:pPr>
      <w:r>
        <w:t>Orales Semaglutid im Praxisalltag: 24-Monate Effektivität, Persistenz und Sicherheit</w:t>
      </w:r>
    </w:p>
    <w:p>
      <w:r>
        <w:rPr>
          <w:i/>
          <w:color w:val="666666"/>
          <w:sz w:val="18"/>
        </w:rPr>
        <w:t>Baldassarre MPA et al.  ·  Diabetes Obes Metab  ·  21.09.2026  ·  PMID 42768825</w:t>
      </w:r>
    </w:p>
    <w:p>
      <w:r>
        <w:t>Retrospektive Real-World-Studie mit 232 T2D-Patienten in Italien zur 24-Monatswirkung von oralem Semaglutid auf HbA1c, Körpergewicht, Nierenfunktion und Lipidprofil.</w:t>
      </w:r>
    </w:p>
    <w:p>
      <w:r>
        <w:rPr>
          <w:b/>
        </w:rPr>
        <w:t xml:space="preserve">Ergebnis: </w:t>
      </w:r>
      <w:r>
        <w:t>HbA1c-Senkung −0,8 % (p&lt;0,0001), Gewichtsabnahme −5,7 kg (p&lt;0,0001). Kombinierter Endpunkt HbA1c≤7 % und ≥5 % Gewichtsabnahme erreicht 44,0 % nach 24 Monaten. Therapiepersistenz 68,5 % nach 24 Monaten (mittlere Dauer 19,4 Monate). eGFR und Urinalbuminquotient stabil. Keine Sicherheitsbedenken.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 (Italien), real-world Setting mit längerfristigen Ergebnissen zur Persistenz.</w:t>
      </w:r>
    </w:p>
    <w:p>
      <w:r>
        <w:rPr>
          <w:color w:val="5A7D3A"/>
          <w:sz w:val="18"/>
        </w:rPr>
        <w:t>https://pubmed.ncbi.nlm.nih.gov/42768825/</w:t>
      </w:r>
    </w:p>
    <w:p>
      <w:pPr>
        <w:pStyle w:val="Heading2"/>
      </w:pPr>
      <w:r>
        <w:t>Herzbelastung bei Ketoazidose: Troponin und gestörte Pumpfunktion bei T1D-Kindern</w:t>
      </w:r>
    </w:p>
    <w:p>
      <w:r>
        <w:rPr>
          <w:i/>
          <w:color w:val="666666"/>
          <w:sz w:val="18"/>
        </w:rPr>
        <w:t>Weiskorn J et al.  ·  Cardiovasc Diabetol  ·  18.09.2026  ·  PMID 42768355</w:t>
      </w:r>
    </w:p>
    <w:p>
      <w:r>
        <w:t>Prospektive Kohortenstudie an 81 Kindern mit T1D-Erstmanifestation zur Erfassung von Herzbiomakern und echokardiographischen Veränderungen bei diabetischer Ketoazidose.</w:t>
      </w:r>
    </w:p>
    <w:p>
      <w:r>
        <w:rPr>
          <w:b/>
        </w:rPr>
        <w:t xml:space="preserve">Ergebnis: </w:t>
      </w:r>
      <w:r>
        <w:t>Bei 43 DKA-Patienten (53 %) waren Troponin I und NT-proBNP bereits bei Aufnahme erhöht (Troponin 5,7 vs. 3,9 ng/L, p&lt;0,001) und blieben nach 24h erhöht. Die linksventrikuläre globale longitudinale Strain war in der DKA-Gruppe reduziert (−19,2 vs. −21,5, p=0,029). Die meisten Werte lagen im Normalbereich; ob dies prognostische Bedeutung hat, bleibt unklar.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Pädiatrieklinik, vergleichbare Versorgungsstrukturen für T1D-Kinder.</w:t>
      </w:r>
    </w:p>
    <w:p>
      <w:r>
        <w:rPr>
          <w:color w:val="5A7D3A"/>
          <w:sz w:val="18"/>
        </w:rPr>
        <w:t>https://pubmed.ncbi.nlm.nih.gov/42768355/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Diabetes</dc:title>
  <dc:subject/>
  <dc:creator>Monitor Versorgungsforschung</dc:creator>
  <cp:keywords/>
  <dc:description>generated by python-docx</dc:description>
  <cp:lastModifiedBy/>
  <cp:revision>1</cp:revision>
  <dcterms:created xsi:type="dcterms:W3CDTF">2026-09-23T06:00:00Z</dcterms:created>
  <dcterms:modified xsi:type="dcterms:W3CDTF">2026-09-23T06:00:00Z</dcterms:modified>
  <cp:category/>
</cp:coreProperties>
</file>