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26.09.2026  |  7 Studien  |  diabetes.m-vf.de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Übergewicht und Rauchen als konsistente Risikofaktoren für autoimmune Diabetes im Erwachsenenalter</w:t>
      </w:r>
    </w:p>
    <w:p>
      <w:r>
        <w:rPr>
          <w:i/>
          <w:color w:val="666666"/>
          <w:sz w:val="18"/>
        </w:rPr>
        <w:t>Carlsson S et al.  ·  Diabetologia  ·  25.09.2026  ·  PMID 42789098</w:t>
      </w:r>
    </w:p>
    <w:p>
      <w:r>
        <w:t>Systematische Übersicht zu Lebensstil- und Umweltfaktoren bei erwachsener autoimmun bedingter Diabetes (Typ-1-Diabetes und LADA): Übergewicht, Adipositas und Rauchen zeigen sich als konsistente Risikofaktoren mit stärkster Evidenz, unterstützt durch Beobachtungs- und Mendel-Randomisierungs-Studien.</w:t>
      </w:r>
    </w:p>
    <w:p>
      <w:r>
        <w:rPr>
          <w:b/>
        </w:rPr>
        <w:t xml:space="preserve">Ergebnis: </w:t>
      </w:r>
      <w:r>
        <w:t>Übergewicht, Adipositas und Rauchen erhöhen das Erkrankungsrisiko bei adulter autoimmun bedingter Diabetes; dieser Effekt ist stärker bei Personen mit hochrisiko-HLA-Genotyp. Ernährungsfaktoren wurden primär bei LADA untersucht – erhöhtes Risiko mit zuckerhaltigen Getränken und verarbeiteten Fleischprodukten, protektiv: fettreicher Fisch, n-3-Fettsäuren, moderater Alkoholkonsum. Vitamin-D- und E-Effekte noch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Schweden – vergleichbare Bevölkerungsstruktur und Dokumentation.</w:t>
      </w:r>
    </w:p>
    <w:p>
      <w:r>
        <w:rPr>
          <w:color w:val="5A7D3A"/>
          <w:sz w:val="18"/>
        </w:rPr>
        <w:t>https://pubmed.ncbi.nlm.nih.gov/42789098/</w:t>
      </w:r>
    </w:p>
    <w:p>
      <w:pPr>
        <w:pStyle w:val="Heading2"/>
      </w:pPr>
      <w:r>
        <w:t>Unterschiedliche Komplikationslast bei peripherer vs. koronarer Revaskularisierung trotz vergleichbarer Glukoseeinstellung</w:t>
      </w:r>
    </w:p>
    <w:p>
      <w:r>
        <w:rPr>
          <w:i/>
          <w:color w:val="666666"/>
          <w:sz w:val="18"/>
        </w:rPr>
        <w:t>Takahara M et al.  ·  J Clin Endocrinol Metab  ·  25.09.2026  ·  PMID 42788620</w:t>
      </w:r>
    </w:p>
    <w:p>
      <w:r>
        <w:t>Vergleich von Diabetes-assoziierter Krankheitslast bei 5.808 Patienten mit Diabetes und Revaskularisierung für periphere (LEAD) versus koronare (CAD) Arterienerkrankung: LEAD-Patienten hatten längere Diabetes-Dauer und höhere Komplikationsraten.</w:t>
      </w:r>
    </w:p>
    <w:p>
      <w:r>
        <w:rPr>
          <w:b/>
        </w:rPr>
        <w:t xml:space="preserve">Ergebnis: </w:t>
      </w:r>
      <w:r>
        <w:t>LEAD-Patienten zeigten längere Diabetes-Dauer und signifikant höhere Prävalenz fortgeschrittener Komplikationen: proliferative Retinopathie (adjustiertes Prävalenz-Ratio 1,57; 95%-KI 1,41–1,75), Loss of protective sensation (2,39; 1,82–3,13), dialysepflichtige Niereninsuffizienz (2,12; 1,82–3,13) – auch nach Adjustierung für Diabetes-Dauer. HbA1c unterschied sich nicht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klinische Routinedaten – Versorgungslast bei Hochrisiko-Patienten übertragbar.</w:t>
      </w:r>
    </w:p>
    <w:p>
      <w:r>
        <w:rPr>
          <w:color w:val="5A7D3A"/>
          <w:sz w:val="18"/>
        </w:rPr>
        <w:t>https://pubmed.ncbi.nlm.nih.gov/42788620/</w:t>
      </w:r>
    </w:p>
    <w:p>
      <w:pPr>
        <w:pStyle w:val="Heading2"/>
      </w:pPr>
      <w:r>
        <w:t>CGM reduziert Hospitalisierungen bei älteren Diabetes-Patienten mit Komplexbetreuung um 72 %</w:t>
      </w:r>
    </w:p>
    <w:p>
      <w:r>
        <w:rPr>
          <w:i/>
          <w:color w:val="666666"/>
          <w:sz w:val="18"/>
        </w:rPr>
        <w:t>Rodríguez de Vera Gómez P et al.  ·  Diabetes Technol Ther  ·  24.09.2026  ·  PMID 42786775</w:t>
      </w:r>
    </w:p>
    <w:p>
      <w:r>
        <w:t>Bevölkerungsbasierte spanische Studie zu CGM-Initiation bei 5.281 älteren Patienten (Durchschnittsalter 79 Jahre) mit insulinbehandeltem Typ-2-Diabetes und Komplexbetreuungsbedarf: Vergleich von Hospitalisierungsraten vor und nach CGM-Einführung.</w:t>
      </w:r>
    </w:p>
    <w:p>
      <w:r>
        <w:rPr>
          <w:b/>
        </w:rPr>
        <w:t xml:space="preserve">Ergebnis: </w:t>
      </w:r>
      <w:r>
        <w:t>Diabetes-bedingte akute Hospitalisierungen sanken von 144,27 auf 41,04 pro 10.000 Personen-Jahre (Rate Ratio 0,28; 95%-KI 0,19–0,42); kardiovaskuläre Aufnahmen von 387,25 auf 251,96 pro 10.000 Personen-Jahre (RR 0,65; 95%-KI 0,54–0,78). Durchschnittliche Krankenhausdauer sank um 3,68 Tage (95%-KI -5,26 bis -2,10), Kosten um 657,39 USD pro Patienten-Jahr.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 – Modell für vulnerable Bevölkerungen übertragbar.</w:t>
      </w:r>
    </w:p>
    <w:p>
      <w:r>
        <w:rPr>
          <w:color w:val="5A7D3A"/>
          <w:sz w:val="18"/>
        </w:rPr>
        <w:t>https://pubmed.ncbi.nlm.nih.gov/42786775/</w:t>
      </w:r>
    </w:p>
    <w:p>
      <w:pPr>
        <w:pStyle w:val="Heading2"/>
      </w:pPr>
      <w:r>
        <w:t>Bihormonal Closed Loop über 3 Jahre stabil bei stabilen Glucagon-Bedingungen</w:t>
      </w:r>
    </w:p>
    <w:p>
      <w:r>
        <w:rPr>
          <w:i/>
          <w:color w:val="666666"/>
          <w:sz w:val="18"/>
        </w:rPr>
        <w:t>Jansen TJP et al.  ·  Diabetes Technol Ther  ·  24.09.2026  ·  PMID 42786561</w:t>
      </w:r>
    </w:p>
    <w:p>
      <w:r>
        <w:t>Retrospektive Real-World-Studie von 102 Patienten mit Typ-1-Diabetes unter bihormonal vollständigem Closed-Loop-System über 3 Jahre: Messung kontinuierlicher Glukose-Parameter über 6-Monats-Intervalle mit Fokus auf Glucagon-Verfügbarkeit.</w:t>
      </w:r>
    </w:p>
    <w:p>
      <w:r>
        <w:rPr>
          <w:b/>
        </w:rPr>
        <w:t xml:space="preserve">Ergebnis: </w:t>
      </w:r>
      <w:r>
        <w:t>Bei Patienten mit stabiler Glucagon-Verfügbarkeit (GlucaGen, n=60) zeigten sich stabile Outcomes über 3 Jahre mit Time in Range (70–180 mg/dL) von 79,5–80,8 %, Time Below Range (&lt;70 mg/dL) von 0,95–1,56 %. In der Gesamtgruppe leichter Leistungsrückgang im letzten Zeitraum. Nach Wechsel auf alternatives Glucagon sank die TIR signifikant von 79,3 ±7,1 auf 75,8 ±7,9 %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klinisches Setting – technische Stabilität und Ressourcenthematik relevant.</w:t>
      </w:r>
    </w:p>
    <w:p>
      <w:r>
        <w:rPr>
          <w:color w:val="5A7D3A"/>
          <w:sz w:val="18"/>
        </w:rPr>
        <w:t>https://pubmed.ncbi.nlm.nih.gov/42786561/</w:t>
      </w:r>
    </w:p>
    <w:p>
      <w:pPr>
        <w:pStyle w:val="Heading2"/>
      </w:pPr>
      <w:r>
        <w:t>Hämoglobinopathien mit Diabetes: HbA1c unzuverlässig, CGM und Nüchternglukose empfohlen</w:t>
      </w:r>
    </w:p>
    <w:p>
      <w:r>
        <w:rPr>
          <w:i/>
          <w:color w:val="666666"/>
          <w:sz w:val="18"/>
        </w:rPr>
        <w:t>Manganas K et al.  ·  Diabetes Res Clin Pract  ·  24.09.2026  ·  PMID 42785638</w:t>
      </w:r>
    </w:p>
    <w:p>
      <w:r>
        <w:t>Narrative Übersicht zur Pathophysiologie, Diagnostik und Therapie von Diabetes bei Patienten mit β-Thalassämie und Sichelzellerkrankung, unter Berücksichtigung der diagnostischen Fallstricke und therapeutischen Strategien.</w:t>
      </w:r>
    </w:p>
    <w:p>
      <w:r>
        <w:rPr>
          <w:b/>
        </w:rPr>
        <w:t xml:space="preserve">Ergebnis: </w:t>
      </w:r>
      <w:r>
        <w:t>HbA1c ist aufgrund von analytischen Störungen (hämolytische Anämie, Erythrozyten-Transfusionen) und biologischen Verzerrungen (verkürzte Erythrozytenüberlebenszeit) häufig ungenau. Formale Diagnostik muss auf Nüchternglukose und oralen Glukosetoleranztest stützen; CGM-Metriken sind wertvoll. Therapie: Basal-Bolus-Insulin als Eckpfeiler, SGLT2-Hemmer und GLP-1-Rezeptoragonisten als vielversprechende Adjuvanzien, intensive Eisenchelationstherapie kann frühe Dysglykämie umkehren.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 – seltene Erkrankung, spezialisierte Zentren empfohlen, Übertragbarkeit auf deutsche Zentren.</w:t>
      </w:r>
    </w:p>
    <w:p>
      <w:r>
        <w:rPr>
          <w:color w:val="5A7D3A"/>
          <w:sz w:val="18"/>
        </w:rPr>
        <w:t>https://pubmed.ncbi.nlm.nih.gov/42785638/</w:t>
      </w:r>
    </w:p>
    <w:p>
      <w:pPr>
        <w:pStyle w:val="Heading2"/>
      </w:pPr>
      <w:r>
        <w:t>Automated-Insulin-Delivery-Systeme für Schwangerschaft mit Typ-1-Diabetes bislang nicht optimiert</w:t>
      </w:r>
    </w:p>
    <w:p>
      <w:r>
        <w:rPr>
          <w:i/>
          <w:color w:val="666666"/>
          <w:sz w:val="18"/>
        </w:rPr>
        <w:t>T1D Pregnancy &amp; Me Study Group*  ·  Diabetes Care  ·  24.09.2026  ·  PMID 42782208</w:t>
      </w:r>
    </w:p>
    <w:p>
      <w:r>
        <w:t>Stellungnahme der T1D Pregnancy &amp; Me Study Group zur Notwendigkeit, Automated-Insulin-Delivery-Systeme für schwangere Frauen mit Typ-1-Diabetes zu optimieren: Analyse der Limitationen der FDA-zugelassenen AID-Systeme im Schwangerschaftskontext.</w:t>
      </w:r>
    </w:p>
    <w:p>
      <w:r>
        <w:rPr>
          <w:b/>
        </w:rPr>
        <w:t xml:space="preserve">Ergebnis: </w:t>
      </w:r>
      <w:r>
        <w:t>Keine der in den USA zugelassenen AID-Systeme ist für Schwangerschaftsziele konzipiert oder gekennzeichnet; die meisten reduzieren die Insulinabgabe, wenn CGM-Werte im optimalen Bereich liegen. Schwangere mit Typ-1-Diabetes wurden systematisch aus klinischen Studien ausgeschlossen. Forderungen: Einschluss Schwangerer in Studien, Systeme mit Schwangerschafts-Algorithmen, Real-World-Studien während Entwicklung.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Innovationslücke und Forschungsexklusionspraxis international relevant, unabhängig von Gesundheitssystem.</w:t>
      </w:r>
    </w:p>
    <w:p>
      <w:r>
        <w:rPr>
          <w:color w:val="5A7D3A"/>
          <w:sz w:val="18"/>
        </w:rPr>
        <w:t>https://pubmed.ncbi.nlm.nih.gov/42782208/</w:t>
      </w:r>
    </w:p>
    <w:p>
      <w:pPr>
        <w:pStyle w:val="Heading2"/>
      </w:pPr>
      <w:r>
        <w:t>Höhere kardiovaskuläre Gesundheit verbunden mit weniger Mikroangiopathien bei Typ-2-Diabetes, stärker bei prämenopausalen Frauen</w:t>
      </w:r>
    </w:p>
    <w:p>
      <w:r>
        <w:rPr>
          <w:i/>
          <w:color w:val="666666"/>
          <w:sz w:val="18"/>
        </w:rPr>
        <w:t>Qiu L et al.  ·  BMJ Open Diabetes Res Care  ·  23.09.2026  ·  PMID 42778342</w:t>
      </w:r>
    </w:p>
    <w:p>
      <w:r>
        <w:t>Querschnittsstudie an 4.527 chinesischen Typ-2-Diabetes-Patienten zur Assoziation des Life's Essential 8 Kardio-Gesundheitsscores mit Prävalenz von Mikroangiopathien, stratifiziert nach Geschlecht und Menopausenstatus.</w:t>
      </w:r>
    </w:p>
    <w:p>
      <w:r>
        <w:rPr>
          <w:b/>
        </w:rPr>
        <w:t xml:space="preserve">Ergebnis: </w:t>
      </w:r>
      <w:r>
        <w:t>Höhere LE8-Scores waren mit niedrigerer Prävalenz zusammengesetzter Mikroangiopathien assoziiert: adjustiertes Prävalenz-OR für hohen vs. niedrigen LE8-Score 0,43 (95%-KI 0,36–0,52). Assoziation war signifikant unterschiedlich nach Geschlecht und Menopausenstatus (p Interaktion=0,027) und am stärksten bei prämenopausalen Frauen (OR 0,17; 95%-KI 0,09–0,33).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LE8-Framework international – Geschlecht und Menopause als Modifikatoren relevant für Versorgungsstrategien.</w:t>
      </w:r>
    </w:p>
    <w:p>
      <w:r>
        <w:rPr>
          <w:color w:val="5A7D3A"/>
          <w:sz w:val="18"/>
        </w:rPr>
        <w:t>https://pubmed.ncbi.nlm.nih.gov/42778342/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