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16.09.2026  |  6 Studien  |  diabetes.m-vf.de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Verschiedene Erkennungsraten bei gezieltem Diabetes-Screening in Dänemark</w:t>
      </w:r>
    </w:p>
    <w:p>
      <w:r>
        <w:rPr>
          <w:i/>
          <w:color w:val="666666"/>
          <w:sz w:val="18"/>
        </w:rPr>
        <w:t>Mateu NC et al.  ·  BMJ Open Diabetes Res Care  ·  15.09.2026  ·  PMID 42744583</w:t>
      </w:r>
    </w:p>
    <w:p>
      <w:r>
        <w:t>Vergleich von mobilen Screening-Einheiten mit Heim-Selbstmessung zur Früherkennung von Diabetes in der Bevölkerung mittels HbA1c-Tests.</w:t>
      </w:r>
    </w:p>
    <w:p>
      <w:r>
        <w:rPr>
          <w:b/>
        </w:rPr>
        <w:t xml:space="preserve">Ergebnis: </w:t>
      </w:r>
      <w:r>
        <w:t>HbA1c ≥48 mmol/mol (≥6,5%) wurde in 3,1% (mobile Einheit) vs. 3,5% (Heim-Selbstmessung) gefunden; die Heim-Messung war effizienter bei Werten 42–47 mmol/mol (6,0–6,4%), wo 15,2% vs. 9,1% erreicht wurden. Beide Methoden sind komplementär.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vergleichbarer nordeuropäischer Sozialversicherung, hohe Übertragbarkeit auf deutsche Screening-Strukturen</w:t>
      </w:r>
    </w:p>
    <w:p>
      <w:r>
        <w:rPr>
          <w:color w:val="5A7D3A"/>
          <w:sz w:val="18"/>
        </w:rPr>
        <w:t>https://pubmed.ncbi.nlm.nih.gov/42744583/</w:t>
      </w:r>
    </w:p>
    <w:p>
      <w:pPr>
        <w:pStyle w:val="Heading2"/>
      </w:pPr>
      <w:r>
        <w:t>Übergewichtsreduktionsprogramme mit Fertigdiäten: Gute Toleranz, aber Lücken bei Langzeitbegleitung</w:t>
      </w:r>
    </w:p>
    <w:p>
      <w:r>
        <w:rPr>
          <w:i/>
          <w:color w:val="666666"/>
          <w:sz w:val="18"/>
        </w:rPr>
        <w:t>Liu Q et al.  ·  Diabetes Res Clin Pract  ·  15.09.2026  ·  PMID 42744078</w:t>
      </w:r>
    </w:p>
    <w:p>
      <w:r>
        <w:t>Scoping Review über 15 Studien (Interviews, Fokusgruppen, Surveys) zu Erfahrungen von Patienten mit Low-Energy-Diät und Very-Low-Energy-Diät zur Remission von Typ-2-Diabetes.</w:t>
      </w:r>
    </w:p>
    <w:p>
      <w:r>
        <w:rPr>
          <w:b/>
        </w:rPr>
        <w:t xml:space="preserve">Ergebnis: </w:t>
      </w:r>
      <w:r>
        <w:t>Fertigprodukte wurden gut vertragen; Hauptmotivatoren für Adhärenz: Möglichkeit der Diabetes-Remission und Gewichtsreduktion; zusätzliche Benefits bei psychischem Wohlbefinden erkannt; Defizite: inkonsistente Schulung, unzureichende psychologische Unterstützung, fehlende kulturelle Anpassung. Verständnis des Verhaltens nach Programm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übertragbare Erkenntnisse zu Adhärenz-Barrieren für deutsche Remissions-Programme, besonders bezüglich psychologischer Unterstützung</w:t>
      </w:r>
    </w:p>
    <w:p>
      <w:r>
        <w:rPr>
          <w:color w:val="5A7D3A"/>
          <w:sz w:val="18"/>
        </w:rPr>
        <w:t>https://pubmed.ncbi.nlm.nih.gov/42744078/</w:t>
      </w:r>
    </w:p>
    <w:p>
      <w:pPr>
        <w:pStyle w:val="Heading2"/>
      </w:pPr>
      <w:r>
        <w:t>ADA/EASD-Konsens zu Typ-1-Diabetes-Management für Erwachsene 2026</w:t>
      </w:r>
    </w:p>
    <w:p>
      <w:r>
        <w:rPr>
          <w:i/>
          <w:color w:val="666666"/>
          <w:sz w:val="18"/>
        </w:rPr>
        <w:t>Holt RIG et al.  ·  Diabetes Care  ·  15.09.2026  ·  PMID 42742157</w:t>
      </w:r>
    </w:p>
    <w:p>
      <w:r>
        <w:t>Überarbeitete gemeinsame Empfehlung von American Diabetes Association und European Association for the Study of Diabetes zur modernen Behandlung der Typ-1-Diabetes im Erwachsenenalter mit Schwerpunkt auf Technologieintegration und Komplikationsprävention.</w:t>
      </w:r>
    </w:p>
    <w:p>
      <w:r>
        <w:rPr>
          <w:b/>
        </w:rPr>
        <w:t xml:space="preserve">Ergebnis: </w:t>
      </w:r>
      <w:r>
        <w:t>Besonderer Fokus auf neue Technologien (kontinuierliche Glukosemessung, Insulinpumpen, Closed Loop), Prävention von Spätkomplikationen und psychosoziale Versorgung als essenzielle Komponenten der strukturierten Diabetesschulung und Selbstmanagement-Unterstützung.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evidenzbasierte Leitlinie, direkt übertragbar auf deutsches DMP und strukturierte Behandlungsprogramme</w:t>
      </w:r>
    </w:p>
    <w:p>
      <w:r>
        <w:rPr>
          <w:color w:val="5A7D3A"/>
          <w:sz w:val="18"/>
        </w:rPr>
        <w:t>https://pubmed.ncbi.nlm.nih.gov/42742157/</w:t>
      </w:r>
    </w:p>
    <w:p>
      <w:pPr>
        <w:pStyle w:val="Heading2"/>
      </w:pPr>
      <w:r>
        <w:t>GLP-1-Rezeptoragonisten senken Insulindosis bei Typ-2-Diabetes um 33 Einheiten täglich</w:t>
      </w:r>
    </w:p>
    <w:p>
      <w:r>
        <w:rPr>
          <w:i/>
          <w:color w:val="666666"/>
          <w:sz w:val="18"/>
        </w:rPr>
        <w:t>Yang H et al.  ·  Diabetes Obes Metab  ·  14.09.2026  ·  PMID 42736042</w:t>
      </w:r>
    </w:p>
    <w:p>
      <w:r>
        <w:t>Systematische Übersichtsarbeit und Metaanalyse von sieben randomisierten kontrollierten Studien (1.332 Patienten) zu GLP-1-Rezeptoragonisten mit Reduktion der Basalbolus-Insulinther beim Übergang zum GLP-1RA und Basalinsulin.</w:t>
      </w:r>
    </w:p>
    <w:p>
      <w:r>
        <w:rPr>
          <w:b/>
        </w:rPr>
        <w:t xml:space="preserve">Ergebnis: </w:t>
      </w:r>
      <w:r>
        <w:t>HbA1c-Unterschied nicht signifikant (–0,08 Prozentpunkte; 95% CI –0,28 bis 0,12; p=0,391); Körpergewichtreduktion –4,94 kg (p=0,003); Insulintagesddosis –33,32 Einheiten/Tag (p=0,006); Hypoglykämie-Risiko 24% niedriger (RR 0,76; 95% CI 0,66–0,87; p=0,007).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gültig für deutsche Versorgung und DMP-relevante Therapieoptimierung</w:t>
      </w:r>
    </w:p>
    <w:p>
      <w:r>
        <w:rPr>
          <w:color w:val="5A7D3A"/>
          <w:sz w:val="18"/>
        </w:rPr>
        <w:t>https://pubmed.ncbi.nlm.nih.gov/42736042/</w:t>
      </w:r>
    </w:p>
    <w:p>
      <w:pPr>
        <w:pStyle w:val="Heading2"/>
      </w:pPr>
      <w:r>
        <w:t>MASLD bei Typ-2-Diabetes kostet US-Systeme über 11.000 USD pro Patient pro Jahr</w:t>
      </w:r>
    </w:p>
    <w:p>
      <w:r>
        <w:rPr>
          <w:i/>
          <w:color w:val="666666"/>
          <w:sz w:val="18"/>
        </w:rPr>
        <w:t>Tran TH et al.  ·  Diabetes Obes Metab  ·  14.09.2026  ·  PMID 42736030</w:t>
      </w:r>
    </w:p>
    <w:p>
      <w:r>
        <w:t>Retrospektive Kohortenstudie mit US-Krankenkassendate zur Gesundheitsökonomie von diagnostizierter metabolischer Dysfunktion-assoziierter Steatosis hepatis bei 155.172 Patienten mit Typ-2-Diabetes.</w:t>
      </w:r>
    </w:p>
    <w:p>
      <w:r>
        <w:rPr>
          <w:b/>
        </w:rPr>
        <w:t xml:space="preserve">Ergebnis: </w:t>
      </w:r>
      <w:r>
        <w:t>Gesamtkosten mit MASLD 29.734 USD vs. 18.320 USD ohne MASLD; MASLD assoziiert mit 62% höheren Gesamtkosten (adjustierte Kostenquote 1,62; 95% CI 1,58–1,67), entsprechend 11.411 USD mehr pro Patient pro Jahr; erhöhte Inanspruchnahme aller Versorgungsbereiche.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anderer Kostenstruktur, kostentechnische Befunde partiell übertragbar auf deutsche Kostenträger</w:t>
      </w:r>
    </w:p>
    <w:p>
      <w:r>
        <w:rPr>
          <w:color w:val="5A7D3A"/>
          <w:sz w:val="18"/>
        </w:rPr>
        <w:t>https://pubmed.ncbi.nlm.nih.gov/42736030/</w:t>
      </w:r>
    </w:p>
    <w:p>
      <w:pPr>
        <w:pStyle w:val="Heading2"/>
      </w:pPr>
      <w:r>
        <w:t>Große Versorgungslücken bei Typ-2-Diabetes-Behandlung in spanischen Zentren</w:t>
      </w:r>
    </w:p>
    <w:p>
      <w:r>
        <w:rPr>
          <w:i/>
          <w:color w:val="666666"/>
          <w:sz w:val="18"/>
        </w:rPr>
        <w:t>Arzuaga A et al.  ·  Prim Care Diabetes  ·  10.08.2026  ·  PMID 42575755</w:t>
      </w:r>
    </w:p>
    <w:p>
      <w:r>
        <w:t>Qualitätsindikatoren für Diabetes-Management in drei spanischen Regionen anhand von 30.111 Patienten mit elektronischen Patientenakten evaluiert.</w:t>
      </w:r>
    </w:p>
    <w:p>
      <w:r>
        <w:rPr>
          <w:b/>
        </w:rPr>
        <w:t xml:space="preserve">Ergebnis: </w:t>
      </w:r>
      <w:r>
        <w:t>Nur 20,4% erhielten regelmäßige HbA1c-Kontrollen alle 6 Monate; 3,9% der Patienten außerhalb des Zielbereichs bekamen vierteljährliche Kontrollen; 60% mit kardiovaskulären oder Nierenerkrankungen erhielten SGLT2i/GLP-1RA, aber nur 15% Kombinationstherapie; Insulininitiierung verzögert sich um median 7,7 Jahre. Benchmarking haltet Mängel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ähnlichen Versicherungsstrukturen, repräsentativ für fragmentierte Versorgung südeuropäischer und deutscher Regionen</w:t>
      </w:r>
    </w:p>
    <w:p>
      <w:r>
        <w:rPr>
          <w:color w:val="5A7D3A"/>
          <w:sz w:val="18"/>
        </w:rPr>
        <w:t>https://pubmed.ncbi.nlm.nih.gov/42575755/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