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Diabetes</w:t>
      </w:r>
    </w:p>
    <w:p>
      <w:r>
        <w:rPr>
          <w:i/>
          <w:color w:val="666666"/>
          <w:sz w:val="18"/>
        </w:rPr>
        <w:t>Stand: 16.09.2026  |  42 Studien  |  diabetes.m-vf.de</w:t>
      </w:r>
    </w:p>
    <w:p>
      <w:pPr>
        <w:pStyle w:val="Heading1"/>
      </w:pPr>
      <w:r>
        <w:t>Aufgenommen am 16.09.2026</w:t>
      </w:r>
    </w:p>
    <w:p>
      <w:pPr>
        <w:pStyle w:val="Heading2"/>
      </w:pPr>
      <w:r>
        <w:t>Verschiedene Erkennungsraten bei gezieltem Diabetes-Screening in Dänemark</w:t>
      </w:r>
    </w:p>
    <w:p>
      <w:r>
        <w:rPr>
          <w:i/>
          <w:color w:val="666666"/>
          <w:sz w:val="18"/>
        </w:rPr>
        <w:t>Mateu NC et al.  ·  BMJ Open Diabetes Res Care  ·  15.09.2026  ·  PMID 42744583</w:t>
      </w:r>
    </w:p>
    <w:p>
      <w:r>
        <w:t>Vergleich von mobilen Screening-Einheiten mit Heim-Selbstmessung zur Früherkennung von Diabetes in der Bevölkerung mittels HbA1c-Tests.</w:t>
      </w:r>
    </w:p>
    <w:p>
      <w:r>
        <w:rPr>
          <w:b/>
        </w:rPr>
        <w:t xml:space="preserve">Ergebnis: </w:t>
      </w:r>
      <w:r>
        <w:t>HbA1c ≥48 mmol/mol (≥6,5%) wurde in 3,1% (mobile Einheit) vs. 3,5% (Heim-Selbstmessung) gefunden; die Heim-Messung war effizienter bei Werten 42–47 mmol/mol (6,0–6,4%), wo 15,2% vs. 9,1% erreicht wurden. Beide Methoden sind komplementär.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vergleichbarer nordeuropäischer Sozialversicherung, hohe Übertragbarkeit auf deutsche Screening-Strukturen</w:t>
      </w:r>
    </w:p>
    <w:p>
      <w:r>
        <w:rPr>
          <w:color w:val="5A7D3A"/>
          <w:sz w:val="18"/>
        </w:rPr>
        <w:t>https://pubmed.ncbi.nlm.nih.gov/42744583/</w:t>
      </w:r>
    </w:p>
    <w:p>
      <w:pPr>
        <w:pStyle w:val="Heading2"/>
      </w:pPr>
      <w:r>
        <w:t>Übergewichtsreduktionsprogramme mit Fertigdiäten: Gute Toleranz, aber Lücken bei Langzeitbegleitung</w:t>
      </w:r>
    </w:p>
    <w:p>
      <w:r>
        <w:rPr>
          <w:i/>
          <w:color w:val="666666"/>
          <w:sz w:val="18"/>
        </w:rPr>
        <w:t>Liu Q et al.  ·  Diabetes Res Clin Pract  ·  15.09.2026  ·  PMID 42744078</w:t>
      </w:r>
    </w:p>
    <w:p>
      <w:r>
        <w:t>Scoping Review über 15 Studien (Interviews, Fokusgruppen, Surveys) zu Erfahrungen von Patienten mit Low-Energy-Diät und Very-Low-Energy-Diät zur Remission von Typ-2-Diabetes.</w:t>
      </w:r>
    </w:p>
    <w:p>
      <w:r>
        <w:rPr>
          <w:b/>
        </w:rPr>
        <w:t xml:space="preserve">Ergebnis: </w:t>
      </w:r>
      <w:r>
        <w:t>Fertigprodukte wurden gut vertragen; Hauptmotivatoren für Adhärenz: Möglichkeit der Diabetes-Remission und Gewichtsreduktion; zusätzliche Benefits bei psychischem Wohlbefinden erkannt; Defizite: inkonsistente Schulung, unzureichende psychologische Unterstützung, fehlende kulturelle Anpassung. Verständnis des Verhaltens nach Programm begrenzt.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übertragbare Erkenntnisse zu Adhärenz-Barrieren für deutsche Remissions-Programme, besonders bezüglich psychologischer Unterstützung</w:t>
      </w:r>
    </w:p>
    <w:p>
      <w:r>
        <w:rPr>
          <w:color w:val="5A7D3A"/>
          <w:sz w:val="18"/>
        </w:rPr>
        <w:t>https://pubmed.ncbi.nlm.nih.gov/42744078/</w:t>
      </w:r>
    </w:p>
    <w:p>
      <w:pPr>
        <w:pStyle w:val="Heading2"/>
      </w:pPr>
      <w:r>
        <w:t>ADA/EASD-Konsens zu Typ-1-Diabetes-Management für Erwachsene 2026</w:t>
      </w:r>
    </w:p>
    <w:p>
      <w:r>
        <w:rPr>
          <w:i/>
          <w:color w:val="666666"/>
          <w:sz w:val="18"/>
        </w:rPr>
        <w:t>Holt RIG et al.  ·  Diabetes Care  ·  15.09.2026  ·  PMID 42742157</w:t>
      </w:r>
    </w:p>
    <w:p>
      <w:r>
        <w:t>Überarbeitete gemeinsame Empfehlung von American Diabetes Association und European Association for the Study of Diabetes zur modernen Behandlung der Typ-1-Diabetes im Erwachsenenalter mit Schwerpunkt auf Technologieintegration und Komplikationsprävention.</w:t>
      </w:r>
    </w:p>
    <w:p>
      <w:r>
        <w:rPr>
          <w:b/>
        </w:rPr>
        <w:t xml:space="preserve">Ergebnis: </w:t>
      </w:r>
      <w:r>
        <w:t>Besonderer Fokus auf neue Technologien (kontinuierliche Glukosemessung, Insulinpumpen, Closed Loop), Prävention von Spätkomplikationen und psychosoziale Versorgung als essenzielle Komponenten der strukturierten Diabetesschulung und Selbstmanagement-Unterstützung.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evidenzbasierte Leitlinie, direkt übertragbar auf deutsches DMP und strukturierte Behandlungsprogramme</w:t>
      </w:r>
    </w:p>
    <w:p>
      <w:r>
        <w:rPr>
          <w:color w:val="5A7D3A"/>
          <w:sz w:val="18"/>
        </w:rPr>
        <w:t>https://pubmed.ncbi.nlm.nih.gov/42742157/</w:t>
      </w:r>
    </w:p>
    <w:p>
      <w:pPr>
        <w:pStyle w:val="Heading2"/>
      </w:pPr>
      <w:r>
        <w:t>GLP-1-Rezeptoragonisten senken Insulindosis bei Typ-2-Diabetes um 33 Einheiten täglich</w:t>
      </w:r>
    </w:p>
    <w:p>
      <w:r>
        <w:rPr>
          <w:i/>
          <w:color w:val="666666"/>
          <w:sz w:val="18"/>
        </w:rPr>
        <w:t>Yang H et al.  ·  Diabetes Obes Metab  ·  14.09.2026  ·  PMID 42736042</w:t>
      </w:r>
    </w:p>
    <w:p>
      <w:r>
        <w:t>Systematische Übersichtsarbeit und Metaanalyse von sieben randomisierten kontrollierten Studien (1.332 Patienten) zu GLP-1-Rezeptoragonisten mit Reduktion der Basalbolus-Insulinther beim Übergang zum GLP-1RA und Basalinsulin.</w:t>
      </w:r>
    </w:p>
    <w:p>
      <w:r>
        <w:rPr>
          <w:b/>
        </w:rPr>
        <w:t xml:space="preserve">Ergebnis: </w:t>
      </w:r>
      <w:r>
        <w:t>HbA1c-Unterschied nicht signifikant (–0,08 Prozentpunkte; 95% CI –0,28 bis 0,12; p=0,391); Körpergewichtreduktion –4,94 kg (p=0,003); Insulintagesddosis –33,32 Einheiten/Tag (p=0,006); Hypoglykämie-Risiko 24% niedriger (RR 0,76; 95% CI 0,66–0,87; p=0,007).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RCT-Evidenz, gültig für deutsche Versorgung und DMP-relevante Therapieoptimierung</w:t>
      </w:r>
    </w:p>
    <w:p>
      <w:r>
        <w:rPr>
          <w:color w:val="5A7D3A"/>
          <w:sz w:val="18"/>
        </w:rPr>
        <w:t>https://pubmed.ncbi.nlm.nih.gov/42736042/</w:t>
      </w:r>
    </w:p>
    <w:p>
      <w:pPr>
        <w:pStyle w:val="Heading2"/>
      </w:pPr>
      <w:r>
        <w:t>MASLD bei Typ-2-Diabetes kostet US-Systeme über 11.000 USD pro Patient pro Jahr</w:t>
      </w:r>
    </w:p>
    <w:p>
      <w:r>
        <w:rPr>
          <w:i/>
          <w:color w:val="666666"/>
          <w:sz w:val="18"/>
        </w:rPr>
        <w:t>Tran TH et al.  ·  Diabetes Obes Metab  ·  14.09.2026  ·  PMID 42736030</w:t>
      </w:r>
    </w:p>
    <w:p>
      <w:r>
        <w:t>Retrospektive Kohortenstudie mit US-Krankenkassendate zur Gesundheitsökonomie von diagnostizierter metabolischer Dysfunktion-assoziierter Steatosis hepatis bei 155.172 Patienten mit Typ-2-Diabetes.</w:t>
      </w:r>
    </w:p>
    <w:p>
      <w:r>
        <w:rPr>
          <w:b/>
        </w:rPr>
        <w:t xml:space="preserve">Ergebnis: </w:t>
      </w:r>
      <w:r>
        <w:t>Gesamtkosten mit MASLD 29.734 USD vs. 18.320 USD ohne MASLD; MASLD assoziiert mit 62% höheren Gesamtkosten (adjustierte Kostenquote 1,62; 95% CI 1,58–1,67), entsprechend 11.411 USD mehr pro Patient pro Jahr; erhöhte Inanspruchnahme aller Versorgungsbereiche.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USA-Gesundheitssystem mit anderer Kostenstruktur, kostentechnische Befunde partiell übertragbar auf deutsche Kostenträger</w:t>
      </w:r>
    </w:p>
    <w:p>
      <w:r>
        <w:rPr>
          <w:color w:val="5A7D3A"/>
          <w:sz w:val="18"/>
        </w:rPr>
        <w:t>https://pubmed.ncbi.nlm.nih.gov/42736030/</w:t>
      </w:r>
    </w:p>
    <w:p>
      <w:pPr>
        <w:pStyle w:val="Heading2"/>
      </w:pPr>
      <w:r>
        <w:t>Große Versorgungslücken bei Typ-2-Diabetes-Behandlung in spanischen Zentren</w:t>
      </w:r>
    </w:p>
    <w:p>
      <w:r>
        <w:rPr>
          <w:i/>
          <w:color w:val="666666"/>
          <w:sz w:val="18"/>
        </w:rPr>
        <w:t>Arzuaga A et al.  ·  Prim Care Diabetes  ·  10.08.2026  ·  PMID 42575755</w:t>
      </w:r>
    </w:p>
    <w:p>
      <w:r>
        <w:t>Qualitätsindikatoren für Diabetes-Management in drei spanischen Regionen anhand von 30.111 Patienten mit elektronischen Patientenakten evaluiert.</w:t>
      </w:r>
    </w:p>
    <w:p>
      <w:r>
        <w:rPr>
          <w:b/>
        </w:rPr>
        <w:t xml:space="preserve">Ergebnis: </w:t>
      </w:r>
      <w:r>
        <w:t>Nur 20,4% erhielten regelmäßige HbA1c-Kontrollen alle 6 Monate; 3,9% der Patienten außerhalb des Zielbereichs bekamen vierteljährliche Kontrollen; 60% mit kardiovaskulären oder Nierenerkrankungen erhielten SGLT2i/GLP-1RA, aber nur 15% Kombinationstherapie; Insulininitiierung verzögert sich um median 7,7 Jahre. Benchmarking haltet Mängel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 mit ähnlichen Versicherungsstrukturen, repräsentativ für fragmentierte Versorgung südeuropäischer und deutscher Regionen</w:t>
      </w:r>
    </w:p>
    <w:p>
      <w:r>
        <w:rPr>
          <w:color w:val="5A7D3A"/>
          <w:sz w:val="18"/>
        </w:rPr>
        <w:t>https://pubmed.ncbi.nlm.nih.gov/42575755/</w:t>
      </w:r>
    </w:p>
    <w:p>
      <w:pPr>
        <w:pStyle w:val="Heading1"/>
      </w:pPr>
      <w:r>
        <w:t>Aufgenommen am 15.09.2026</w:t>
      </w:r>
    </w:p>
    <w:p>
      <w:pPr>
        <w:pStyle w:val="Heading2"/>
      </w:pPr>
      <w:r>
        <w:t>Unteramputation bei Diabetes: 23,5 % Mortalität nach 1 Jahr, keine Verbesserung seit 2012</w:t>
      </w:r>
    </w:p>
    <w:p>
      <w:r>
        <w:rPr>
          <w:i/>
          <w:color w:val="666666"/>
          <w:sz w:val="18"/>
        </w:rPr>
        <w:t>Hennessy C et al.  ·  Diabetes Care  ·  14.09.2026  ·  PMID 42734988</w:t>
      </w:r>
    </w:p>
    <w:p>
      <w:r>
        <w:t>Eine 25-Jahr-Bevölkerungsstudie aus England beschrieb Mortalität und Morbidität nach Unterschenkelamputation bei 25.176 Diabetespatienten mittels verknüpfter Krankenhausdaten.</w:t>
      </w:r>
    </w:p>
    <w:p>
      <w:r>
        <w:rPr>
          <w:b/>
        </w:rPr>
        <w:t xml:space="preserve">Ergebnis: </w:t>
      </w:r>
      <w:r>
        <w:t>Mortalität betrug 23,5 % im 1. Jahr, 60,0 % im 5. Jahr und 82,3 % im 10. Jahr – ohne Verbesserung seit 2012. Unabhängig assoziiert mit erhöhter Mortalität: weibliches Geschlecht (HR 1,06), höheres Alter (HR 1,62), höherer Charlson-Index (HR 1,04 pro Punkt). 90-Tage-Komplikationen: Reoperation (6,24 %), Myokardinfarkt (3,74 %), Readmission (20,25 %); kumulative Kontralateral-Amputation bei 5 Jahren: 6,43 %.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nationale Krankenhausdaten vergleichbar mit deutschem KV-System.</w:t>
      </w:r>
    </w:p>
    <w:p>
      <w:r>
        <w:rPr>
          <w:color w:val="5A7D3A"/>
          <w:sz w:val="18"/>
        </w:rPr>
        <w:t>https://pubmed.ncbi.nlm.nih.gov/42734988/</w:t>
      </w:r>
    </w:p>
    <w:p>
      <w:pPr>
        <w:pStyle w:val="Heading2"/>
      </w:pPr>
      <w:r>
        <w:t>Transition Typ-1-Diabetes: Konsenspapier mit 31 Statements für strukturierte Betreuung</w:t>
      </w:r>
    </w:p>
    <w:p>
      <w:r>
        <w:rPr>
          <w:i/>
          <w:color w:val="666666"/>
          <w:sz w:val="18"/>
        </w:rPr>
        <w:t>de Beaufort C et al.  ·  Diabetologia  ·  14.09.2026  ·  PMID 42734653</w:t>
      </w:r>
    </w:p>
    <w:p>
      <w:r>
        <w:t>Ein internationales Konsenspapier (ISPAD, EASD, ADA) entwickelte evidenzbasierte Empfehlungen zur Betreuung von Jugendlichen und jungen Erwachsenen beim Wechsel von pädiatrischer zu Erwachsenendiabeologie.</w:t>
      </w:r>
    </w:p>
    <w:p>
      <w:r>
        <w:rPr>
          <w:b/>
        </w:rPr>
        <w:t xml:space="preserve">Ergebnis: </w:t>
      </w:r>
      <w:r>
        <w:t>31 Konsens-Statements zum vollen Transitionsprozess (Prä-Transfer, Transfer, Post-Transfer) wurden durch systematische Review + Delphi-Befragung von Fachleuten und Patienten validiert. Evidenz Grade A/B wurde automatisch eingebunden; Grad C/E erfolgte Delphi-Validierung. Der Report enthält keine Zahlen zu Outcomes, sondern Struktur- und Prozessempfehlungen mit dem Ziel, Leitlinien in lokale Praxis zu übersetzen.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Internationales Konsenspaper – Niederlande, Skandinavien, deutschsprachige Länder vertreten.</w:t>
      </w:r>
    </w:p>
    <w:p>
      <w:r>
        <w:rPr>
          <w:color w:val="5A7D3A"/>
          <w:sz w:val="18"/>
        </w:rPr>
        <w:t>https://pubmed.ncbi.nlm.nih.gov/42734653/</w:t>
      </w:r>
    </w:p>
    <w:p>
      <w:pPr>
        <w:pStyle w:val="Heading2"/>
      </w:pPr>
      <w:r>
        <w:t>Beta-Zellfunction bei Prediabetes: ISSI-2 vorhersagekräftiger als HOMA-IR</w:t>
      </w:r>
    </w:p>
    <w:p>
      <w:r>
        <w:rPr>
          <w:i/>
          <w:color w:val="666666"/>
          <w:sz w:val="18"/>
        </w:rPr>
        <w:t>Liu Y et al.  ·  Diabetes Obes Metab  ·  13.09.2026  ·  PMID 42733155</w:t>
      </w:r>
    </w:p>
    <w:p>
      <w:r>
        <w:t>Eine chinesische Prospektivstudie prüfte bei 645 Prediabetespatienten, ob die Insulinsekretion-Sensitivitäts-Index-2 (ISSI-2) aus OGTT-Daten Diabetes-Progression oder -Reversion besser vorhersagt als HOMA-IR.</w:t>
      </w:r>
    </w:p>
    <w:p>
      <w:r>
        <w:rPr>
          <w:b/>
        </w:rPr>
        <w:t xml:space="preserve">Ergebnis: </w:t>
      </w:r>
      <w:r>
        <w:t>Nach 24 Monaten: 136 zur Diabetes progrediert, 61 zu Normoglykämie revertiert (n=410 mit Follow-up). ISSI-2: Jede 1-SD-Steigerung war mit niedrigerem Progressionsrisiko (OR 0,505) und höherem Reversionsrisiko (OR 1,447, beide p&lt;0,001) assoziiert. HOMA-IR weniger konsistent. Dual-Defekt-Gruppe (höher HOMA-IR + niedrig ISSI-2) hatte höchstes Progressionsrisiko (OR 2,764). ISSI-2 erfasst Basalglykämie stärker als HOMA-IR.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große Multicenterstichprobe, Konzept auf deutsche Screening-praxis übertragbar.</w:t>
      </w:r>
    </w:p>
    <w:p>
      <w:r>
        <w:rPr>
          <w:color w:val="5A7D3A"/>
          <w:sz w:val="18"/>
        </w:rPr>
        <w:t>https://pubmed.ncbi.nlm.nih.gov/42733155/</w:t>
      </w:r>
    </w:p>
    <w:p>
      <w:pPr>
        <w:pStyle w:val="Heading2"/>
      </w:pPr>
      <w:r>
        <w:t>Polyneuropathie in Prediabetes: 9,8 % Inzidenz in 24 Monaten</w:t>
      </w:r>
    </w:p>
    <w:p>
      <w:r>
        <w:rPr>
          <w:i/>
          <w:color w:val="666666"/>
          <w:sz w:val="18"/>
        </w:rPr>
        <w:t>Anastasiou G et al.  ·  Diabetes Res Clin Pract  ·  13.08.2026  ·  PMID 42595053</w:t>
      </w:r>
    </w:p>
    <w:p>
      <w:r>
        <w:t>Eine griechische Prospektivstudie untersuchte bei 160 Patienten mit Prediabetes die Inzidenz distaler symmetrischer Polyneuropathie (DSPN) über 24 Monate und identifizierte unabhängige Risikofaktoren.</w:t>
      </w:r>
    </w:p>
    <w:p>
      <w:r>
        <w:rPr>
          <w:b/>
        </w:rPr>
        <w:t xml:space="preserve">Ergebnis: </w:t>
      </w:r>
      <w:r>
        <w:t>Bei 133 DSPN-freien Teilnehmern am Baseline entwickelten 13 (9,8 %) eine DSPN. Unabhängige Prädiktoren waren Alter (OR 1,11 pro Jahr), männliches Geschlecht (OR 1,07), Rauchen (OR 1,17), Taillenumfang (OR 1,04 pro cm), HOMA-IR (OR 1,83) und deren Veränderung (OR 1,46). Die Ergebnisse zeigen, dass Nervenschäden bereits im prädiabeischen Stadium auftreten.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Griechenland, vergleichbares europäisches Versichertensystem.</w:t>
      </w:r>
    </w:p>
    <w:p>
      <w:r>
        <w:rPr>
          <w:color w:val="5A7D3A"/>
          <w:sz w:val="18"/>
        </w:rPr>
        <w:t>https://pubmed.ncbi.nlm.nih.gov/42595053/</w:t>
      </w:r>
    </w:p>
    <w:p>
      <w:pPr>
        <w:pStyle w:val="Heading2"/>
      </w:pPr>
      <w:r>
        <w:t>Diabetesversorgung bei Älteren in Deutschland: Mangel bei modernen Medikamenten</w:t>
      </w:r>
    </w:p>
    <w:p>
      <w:r>
        <w:rPr>
          <w:i/>
          <w:color w:val="666666"/>
          <w:sz w:val="18"/>
        </w:rPr>
        <w:t>Du Y et al.  ·  Diabetes Obes Metab  ·  11.08.2026  ·  PMID 42581634</w:t>
      </w:r>
    </w:p>
    <w:p>
      <w:r>
        <w:t>Eine deutsche Querschnittsstudie (Gesundheit65+) bewertete Versorgungsqualität bei 292 älteren Diabetespatienten (≥66 Jahre) anhand von Leitlinien-Indikatoren und verglich mit früheren Erhebungen.</w:t>
      </w:r>
    </w:p>
    <w:p>
      <w:r>
        <w:rPr>
          <w:b/>
        </w:rPr>
        <w:t xml:space="preserve">Ergebnis: </w:t>
      </w:r>
      <w:r>
        <w:t>90,6 % Nichtraucher, 69,6 % Normalgewicht, 74,2 % Blutdruckkontrolle, 45,5 % sportlich aktiv. Bei Medikation: 73,6 % Antidiabetika (24,3 % Metformin mono, 16,9 % Insulin), 65,7 % Statine, 88,4 % ACE-I/ARB (bei Hypertonie). Moderne Substanzen nur 36,8 % GLP-1-RA/SGLT2i bei kardiovaskulärer Erkrankung; Aspirin 55,4 %. Trend-Analyse (66–79 J.): Insulinrückgang, Verbesserung bei Bewegung, Normalgewicht, Blutdruck und Leitlinien-Medikation.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Robert-Koch-Institut, nationale Untersuchungsdaten.</w:t>
      </w:r>
    </w:p>
    <w:p>
      <w:r>
        <w:rPr>
          <w:color w:val="5A7D3A"/>
          <w:sz w:val="18"/>
        </w:rPr>
        <w:t>https://pubmed.ncbi.nlm.nih.gov/42581634/</w:t>
      </w:r>
    </w:p>
    <w:p>
      <w:pPr>
        <w:pStyle w:val="Heading2"/>
      </w:pPr>
      <w:r>
        <w:t>Typ-2-Diabetes-Prävention: Lebenslauf-Rahmen mit 10 Prioritäten statt Symptom-fokussiert</w:t>
      </w:r>
    </w:p>
    <w:p>
      <w:r>
        <w:rPr>
          <w:i/>
          <w:color w:val="666666"/>
          <w:sz w:val="18"/>
        </w:rPr>
        <w:t>Wang Y et al.  ·  Nat Med  ·  10.08.2026  ·  PMID 42575984</w:t>
      </w:r>
    </w:p>
    <w:p>
      <w:r>
        <w:t>Ein internationales Konsenspapier (22 Experten, darunter deutsche Zentren) entwickelt einen Life-Course-Präventionsrahmen für Typ-2-Diabetes mit Fokus auf Prediabetes-Remission statt nur Progression-Verzögerung.</w:t>
      </w:r>
    </w:p>
    <w:p>
      <w:r>
        <w:rPr>
          <w:b/>
        </w:rPr>
        <w:t xml:space="preserve">Ergebnis: </w:t>
      </w:r>
      <w:r>
        <w:t>Der Bericht beschreibt einen integrierten Life-Course-Risikobau mit kritischen Fenster metabolischer Anfälligkeit und enthält 10 Prioritäten für präventive Intervention. Kernthese: Normoglykämie-Wiederherstellung ist das Ziel, Prediabetes-Remission ein messbarer, erreichbarer Endpunkt; präzise Prävention muss Mechanismen-Heterogenität berücksichtigen und bleibt skalierbar/adaptierbar. Keine Outcome-Zahlen, aber konzeptionelle Rahmengebung für neue Strategien.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Tübingen (Helmholtz, Universitätsklinik), Düsseldorf (DDZ) führend – deutsches Gesundheitssystem eingebunden.</w:t>
      </w:r>
    </w:p>
    <w:p>
      <w:r>
        <w:rPr>
          <w:color w:val="5A7D3A"/>
          <w:sz w:val="18"/>
        </w:rPr>
        <w:t>https://pubmed.ncbi.nlm.nih.gov/42575984/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>Operationalisierung von Typ-2-Diabetes ändert Phänotyp und Outcome-Assoziation</w:t>
      </w:r>
    </w:p>
    <w:p>
      <w:r>
        <w:rPr>
          <w:i/>
          <w:color w:val="666666"/>
          <w:sz w:val="18"/>
        </w:rPr>
        <w:t>Zhou Y et al.  ·  Diabetes Res Clin Pract  ·  13.09.2026  ·  PMID 42732789</w:t>
      </w:r>
    </w:p>
    <w:p>
      <w:r>
        <w:t>UK-Biobank-Studie mit 501.936 Teilnehmern: Vergleich von fünf alternativen Definitions-Familien für Typ-2-Diabetes und deren Effekt auf Fallzusammensetzung und Mortalitäts-/Morbilitäts-Assoziationen.</w:t>
      </w:r>
    </w:p>
    <w:p>
      <w:r>
        <w:rPr>
          <w:b/>
        </w:rPr>
        <w:t xml:space="preserve">Ergebnis: </w:t>
      </w:r>
      <w:r>
        <w:t>Fallzahlen variierten je Definition (13.873-22.394); Hazard Ratios für MI 3,82 (3,61-4,04) und Demenz 3,79 (3,52-4,09) bei eng definierten Fällen; Einschluss von nicht diagnostiziertem Diabetes reduzierte HRs um 1,2-13,8 %, besonders für Demenz.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UK-System, ähnlich deutsche Routinedokumentation in KVs/Kliniken</w:t>
      </w:r>
    </w:p>
    <w:p>
      <w:r>
        <w:rPr>
          <w:color w:val="5A7D3A"/>
          <w:sz w:val="18"/>
        </w:rPr>
        <w:t>https://pubmed.ncbi.nlm.nih.gov/42732789/</w:t>
      </w:r>
    </w:p>
    <w:p>
      <w:pPr>
        <w:pStyle w:val="Heading2"/>
      </w:pPr>
      <w:r>
        <w:t>Metabolische Faktoren und pulmonale Veränderungen bei Diabetes</w:t>
      </w:r>
    </w:p>
    <w:p>
      <w:r>
        <w:rPr>
          <w:i/>
          <w:color w:val="666666"/>
          <w:sz w:val="18"/>
        </w:rPr>
        <w:t>Li Z et al.  ·  Diabetes Care  ·  01.09.2026  ·  PMID 42623539</w:t>
      </w:r>
    </w:p>
    <w:p>
      <w:r>
        <w:t>Stellungnahme zu Faktoren, die die Verbindung zwischen Diabetes und Lungenfunktionsstörungen modulieren.</w:t>
      </w:r>
    </w:p>
    <w:p>
      <w:r>
        <w:rPr>
          <w:b/>
        </w:rPr>
        <w:t xml:space="preserve">Ergebnis: </w:t>
      </w:r>
      <w:r>
        <w:t>Post-hoc-Analyse zeigt metabolische Marker als unabhängige Prädiktoren pulmonaler Alteration; spezifische Hazard Ratios im Originalmanuskript nicht im Abstract.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Deutschland-Vergleichbarkeit abhängig von Datenquelle, siehe Originalarbeit</w:t>
      </w:r>
    </w:p>
    <w:p>
      <w:r>
        <w:rPr>
          <w:color w:val="5A7D3A"/>
          <w:sz w:val="18"/>
        </w:rPr>
        <w:t>https://pubmed.ncbi.nlm.nih.gov/42623539/</w:t>
      </w:r>
    </w:p>
    <w:p>
      <w:pPr>
        <w:pStyle w:val="Heading2"/>
      </w:pPr>
      <w:r>
        <w:t>DDG-Positionspapier zum Typ-1-Diabetes-Screening</w:t>
      </w:r>
    </w:p>
    <w:p>
      <w:r>
        <w:rPr>
          <w:i/>
          <w:color w:val="666666"/>
          <w:sz w:val="18"/>
        </w:rPr>
        <w:t>Blankenstein O et al.  ·  Exp Clin Endocrinol Diabetes  ·  19.08.2026  ·  PMID 42618003</w:t>
      </w:r>
    </w:p>
    <w:p>
      <w:r>
        <w:t>Stellungnahme der Deutschen Diabetes-Gesellschaft zu Empfehlungen, wer auf Typ-1-Diabetes gescreent werden sollte und wie.</w:t>
      </w:r>
    </w:p>
    <w:p>
      <w:r>
        <w:rPr>
          <w:b/>
        </w:rPr>
        <w:t xml:space="preserve">Ergebnis: </w:t>
      </w:r>
      <w:r>
        <w:t>Empfehlungen basieren auf Expertenkonsens; keine quantitativen Ergebnisse, aber richtungsweisend für die DDG-Standard.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Direkter Fokus auf deutsches Versorgungssystem, DDG-Mitglieder</w:t>
      </w:r>
    </w:p>
    <w:p>
      <w:r>
        <w:rPr>
          <w:color w:val="5A7D3A"/>
          <w:sz w:val="18"/>
        </w:rPr>
        <w:t>https://pubmed.ncbi.nlm.nih.gov/42618003/</w:t>
      </w:r>
    </w:p>
    <w:p>
      <w:pPr>
        <w:pStyle w:val="Heading2"/>
      </w:pPr>
      <w:r>
        <w:t>Semaglutid in Typ-1-Diabetes: Klinisches Stellungnahme-Duo</w:t>
      </w:r>
    </w:p>
    <w:p>
      <w:r>
        <w:rPr>
          <w:i/>
          <w:color w:val="666666"/>
          <w:sz w:val="18"/>
        </w:rPr>
        <w:t>Nauck MA et al.  ·  Lancet Diabetes Endocrinol  ·  17.08.2026  ·  PMID 42607699</w:t>
      </w:r>
    </w:p>
    <w:p>
      <w:r>
        <w:t>Kommentar von Diabetologen zu Sicherheit und Verträglichkeit von Orforglipron, einem GLP-1-Rezeptoragonisten, bei japanischen Patienten mit Typ-2-Diabetes (aus klinischer Studie).</w:t>
      </w:r>
    </w:p>
    <w:p>
      <w:r>
        <w:rPr>
          <w:b/>
        </w:rPr>
        <w:t xml:space="preserve">Ergebnis: </w:t>
      </w:r>
      <w:r>
        <w:t>Keine Outcome-Zahlen im Abstract; redaktionelle Würdigung, keine primären Daten.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Nicht als Originalarbeit, sondern als Fachmeinung</w:t>
      </w:r>
    </w:p>
    <w:p>
      <w:r>
        <w:rPr>
          <w:color w:val="5A7D3A"/>
          <w:sz w:val="18"/>
        </w:rPr>
        <w:t>https://pubmed.ncbi.nlm.nih.gov/42607699/</w:t>
      </w:r>
    </w:p>
    <w:p>
      <w:pPr>
        <w:pStyle w:val="Heading2"/>
      </w:pPr>
      <w:r>
        <w:t>Helicobacter pylori und Insulinresistenz: Assoziation oder Confounder?</w:t>
      </w:r>
    </w:p>
    <w:p>
      <w:r>
        <w:rPr>
          <w:i/>
          <w:color w:val="666666"/>
          <w:sz w:val="18"/>
        </w:rPr>
        <w:t>Singhartinger F et al.  ·  J Clin Endocrinol Metab  ·  17.08.2026  ·  PMID 42605187</w:t>
      </w:r>
    </w:p>
    <w:p>
      <w:r>
        <w:t>Österreichische Cross-sectional-Studie mit 4.681 asymptomatischen Erwachsenen: Helicobacter-pylori-Status per Magenbiopsi vs. Insulinresistenz (HOMA-IR &gt; 2,5), mit rigoroser Confounder-Anpassung und Bayesian-Analyse.</w:t>
      </w:r>
    </w:p>
    <w:p>
      <w:r>
        <w:rPr>
          <w:b/>
        </w:rPr>
        <w:t xml:space="preserve">Ergebnis: </w:t>
      </w:r>
      <w:r>
        <w:t>Rohprävalenz der Insulinresistenz höher bei H. pylori+ (31 % vs. 27 %; p=0,015); nach vollständiger Anpassung verschwand die Assoziation (IRR 1,12, 95% KI 0,95-1,31; p=0,176); Bayesian-Analyse: 87,9 % Wahrscheinlichkeit praktischer Äquivalenz – H. pylori ist ein Marker sozioökonomischer Faktoren, nicht kausal.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Österreich, mitteleuropäisches Versorgungssystem, vergleichbar mit Deutschland</w:t>
      </w:r>
    </w:p>
    <w:p>
      <w:r>
        <w:rPr>
          <w:color w:val="5A7D3A"/>
          <w:sz w:val="18"/>
        </w:rPr>
        <w:t>https://pubmed.ncbi.nlm.nih.gov/42605187/</w:t>
      </w:r>
    </w:p>
    <w:p>
      <w:pPr>
        <w:pStyle w:val="Heading2"/>
      </w:pPr>
      <w:r>
        <w:t>Genetische Heterogenität: Monogenes Diabetes in Italien deutet auf Land-spezifische Phänotypen</w:t>
      </w:r>
    </w:p>
    <w:p>
      <w:r>
        <w:rPr>
          <w:i/>
          <w:color w:val="666666"/>
          <w:sz w:val="18"/>
        </w:rPr>
        <w:t>Di Paola R et al.  ·  Diabetes Res Clin Pract  ·  14.08.2026  ·  PMID 42600891</w:t>
      </w:r>
    </w:p>
    <w:p>
      <w:r>
        <w:t>Kohortenstudie mit 521 italienischen Patienten mit Verdacht auf monogenes Diabetes: Vergleich der Prävalenz und Charakterisierung pathogener Varianten mit anderen europäischen Ländern.</w:t>
      </w:r>
    </w:p>
    <w:p>
      <w:r>
        <w:rPr>
          <w:b/>
        </w:rPr>
        <w:t xml:space="preserve">Ergebnis: </w:t>
      </w:r>
      <w:r>
        <w:t>Pathogene/wahrscheinlich pathogene Varianten in 127/521 (24,4 %); GCK-Diabetes war mit 54 % der Fall am häufigsten (Unterschied zu UK/Frankreich, wo HNF-Varianten dominieren); MODY-Prädiktor-Kalkulator zeigte schlechtere Diskrimination als im UK entwickelt.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Patientendaten, europäisch vergleichbar, benötigt aber länderspezifische Algorithmen</w:t>
      </w:r>
    </w:p>
    <w:p>
      <w:r>
        <w:rPr>
          <w:color w:val="5A7D3A"/>
          <w:sz w:val="18"/>
        </w:rPr>
        <w:t>https://pubmed.ncbi.nlm.nih.gov/42600891/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Epigenetische Modulation der Ernährungs-Diabetes-Assoziation: DNA-Methylierung stärker als Genetik</w:t>
      </w:r>
    </w:p>
    <w:p>
      <w:r>
        <w:rPr>
          <w:i/>
          <w:color w:val="666666"/>
          <w:sz w:val="18"/>
        </w:rPr>
        <w:t>El-Khoury C et al.  ·  Cardiovasc Diabetol  ·  11.09.2026  ·  PMID 42728572</w:t>
      </w:r>
    </w:p>
    <w:p>
      <w:r>
        <w:t>EPIC-Potsdam-Studie (750 T2D-Fälle) mit 2204 Teilnehmern untersuchte, ob genetische oder epigenetische Faktoren die schützende Wirkung gesunder Ernährung (AHEI-2010, DASH) auf Typ-2-Diabetes modifizieren.</w:t>
      </w:r>
    </w:p>
    <w:p>
      <w:r>
        <w:rPr>
          <w:b/>
        </w:rPr>
        <w:t xml:space="preserve">Ergebnis: </w:t>
      </w:r>
      <w:r>
        <w:t>Höhere Ernährungsqualität schützte vor T2D. Die DNA-Methylierungs-Risk-Score (MRS) modifizierte die Assoziation signifikant für AHEI-2010 (p=0,008) und mediterranes Muster (p&lt;0,0001); dieser Effekt blieb in Sensitivitätsanalysen robust. Ein polygener genetischer Score zeigte keine vergleichbare Interaktion mit Ernährung – die epigenetische Anfälligkeit ist für Prävention relevanter.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prospektive Kohortendaten, strukturiertes DMP-Setting übertragbar</w:t>
      </w:r>
    </w:p>
    <w:p>
      <w:r>
        <w:rPr>
          <w:color w:val="5A7D3A"/>
          <w:sz w:val="18"/>
        </w:rPr>
        <w:t>https://pubmed.ncbi.nlm.nih.gov/42728572/</w:t>
      </w:r>
    </w:p>
    <w:p>
      <w:pPr>
        <w:pStyle w:val="Heading2"/>
      </w:pPr>
      <w:r>
        <w:t>GLP-1-RA bei Typ-1-Diabetes: modest HbA1c-Senkung, aber Übelkeit und Gewichtsverlust</w:t>
      </w:r>
    </w:p>
    <w:p>
      <w:r>
        <w:rPr>
          <w:i/>
          <w:color w:val="666666"/>
          <w:sz w:val="18"/>
        </w:rPr>
        <w:t>Lee O et al.  ·  Diabetes Obes Metab  ·  10.09.2026  ·  PMID 42723273</w:t>
      </w:r>
    </w:p>
    <w:p>
      <w:r>
        <w:t>Overlap-informierte Umbrella-Review (18 Systematische Reviews mit 56 RCTs, insgesamt 35 randomisiert, 21 nicht randomisiert) zu adjuvanten GLP-1-RA neben Insulin bei T1D.</w:t>
      </w:r>
    </w:p>
    <w:p>
      <w:r>
        <w:rPr>
          <w:b/>
        </w:rPr>
        <w:t xml:space="preserve">Ergebnis: </w:t>
      </w:r>
      <w:r>
        <w:t>HbA1c-Reduktion: -0,23 % (95%-KI -0,30 bis -0,17, moderate Sicherheit); Gewichtsabnahme: -3,93 kg (-4,29 bis -3,56, moderat); tägliche Insulindosis: -5,74 IE/Tag (-7,30 bis -4,17, niedrig). Time in Range verbesserte sich nicht (MD +1,99 %, 95%-KI -1,17 bis 5,15, sehr niedrig). Schwere Hypoglykämie: RR 0,83 (0,36–1,91, niedrig). DKA: RR 0,67 (0,16–2,86, niedrig). Übelkeit RR 2,88 (2,20–3,76, hoch), Erbrechen RR 3,11 (1,94–4,97, hoch), Abbruch wegen Nebenwirkungen RR 2,10 (1,42–3,12, hoch).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RCT-Evidenz, T1D-spezifisch, in Deutschland nicht im DMP vorgesehen</w:t>
      </w:r>
    </w:p>
    <w:p>
      <w:r>
        <w:rPr>
          <w:color w:val="5A7D3A"/>
          <w:sz w:val="18"/>
        </w:rPr>
        <w:t>https://pubmed.ncbi.nlm.nih.gov/42723273/</w:t>
      </w:r>
    </w:p>
    <w:p>
      <w:pPr>
        <w:pStyle w:val="Heading2"/>
      </w:pPr>
      <w:r>
        <w:t>Fettleber und Pankreasfetteinlagerung gehen mit 7,9-fach erhöhtem Fettleberrisiko einher</w:t>
      </w:r>
    </w:p>
    <w:p>
      <w:r>
        <w:rPr>
          <w:i/>
          <w:color w:val="666666"/>
          <w:sz w:val="18"/>
        </w:rPr>
        <w:t>Du Y et al.  ·  Diabetes Res Clin Pract  ·  10.09.2026  ·  PMID 42722108</w:t>
      </w:r>
    </w:p>
    <w:p>
      <w:r>
        <w:t>Metaanalyse (19 Studien, 6834 Patienten mit Pankreasfettlagerung) zu Prävalenz von Fettleber und Diabetes bei Pankreasfettlagerungsstörung (FPD).</w:t>
      </w:r>
    </w:p>
    <w:p>
      <w:r>
        <w:rPr>
          <w:b/>
        </w:rPr>
        <w:t xml:space="preserve">Ergebnis: </w:t>
      </w:r>
      <w:r>
        <w:t>Pooled Fettleber-Prävalenz: 59,0 % (95%-KI 51,1–66,6); Diabetes-Prävalenz: 20,6 % (95%-KI 15,0–26,8). MRI/MRS-Studien berichten höhere Raten (76,5 % Fettleber, 27,7 % Diabetes). FPD assoziiert mit signifikant höheren Odds für Fettleber (OR 7,87, 95%-KI 5,09–12,17) und Diabetes (OR 3,19, 95%-KI 2,11–4,82). Gewichtsverlust bleibt zentrale Strategie.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Daten, China-dominiert, Screening-Algorithmen Deutschland-angepasst machbar</w:t>
      </w:r>
    </w:p>
    <w:p>
      <w:r>
        <w:rPr>
          <w:color w:val="5A7D3A"/>
          <w:sz w:val="18"/>
        </w:rPr>
        <w:t>https://pubmed.ncbi.nlm.nih.gov/42722108/</w:t>
      </w:r>
    </w:p>
    <w:p>
      <w:pPr>
        <w:pStyle w:val="Heading2"/>
      </w:pPr>
      <w:r>
        <w:t>Präoperative stationäre Glukosekontrolle senkt Wundinfektion bei Diabetes um 38 %</w:t>
      </w:r>
    </w:p>
    <w:p>
      <w:r>
        <w:rPr>
          <w:i/>
          <w:color w:val="666666"/>
          <w:sz w:val="18"/>
        </w:rPr>
        <w:t>Horikiri Y et al.  ·  J Diabetes Investig  ·  10.09.2026  ·  PMID 42720397</w:t>
      </w:r>
    </w:p>
    <w:p>
      <w:r>
        <w:t>Japanische retrospektive Studie (n=1086, vier Zentren) mit diabetologischem Management: 349 präoperativ stationär optimiert, 702 ambulant, 35 nur postoperativ betreut – Follow-up der chirurgischen Infekte.</w:t>
      </w:r>
    </w:p>
    <w:p>
      <w:r>
        <w:rPr>
          <w:b/>
        </w:rPr>
        <w:t xml:space="preserve">Ergebnis: </w:t>
      </w:r>
      <w:r>
        <w:t>Infektionsrate (SSI): 7,2 % (stationär) vs. 11,1 % (ambulant) vs. 20,0 % (nur postoperativ); p=0,020. Adjustiertes OR für stationäre Optimierung: 0,62 (95%-KI 0,39–0,99, p=0,044). Postoperativer Tag-1-Nüchternblutzucker zeigte stärkere Assoziation mit SSI als präoperativer Wert, aber Blutglukose am OP-Tag blieb klinisch informativ.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Klinik-Daten, deutsches Klinik-Setting bedingt übertragbar</w:t>
      </w:r>
    </w:p>
    <w:p>
      <w:r>
        <w:rPr>
          <w:color w:val="5A7D3A"/>
          <w:sz w:val="18"/>
        </w:rPr>
        <w:t>https://pubmed.ncbi.nlm.nih.gov/42720397/</w:t>
      </w:r>
    </w:p>
    <w:p>
      <w:pPr>
        <w:pStyle w:val="Heading2"/>
      </w:pPr>
      <w:r>
        <w:t>CFTR-Modulatoren verbessern Glukosekontrolle bei zystischer Fibrose ohne Hyporisiko</w:t>
      </w:r>
    </w:p>
    <w:p>
      <w:r>
        <w:rPr>
          <w:i/>
          <w:color w:val="666666"/>
          <w:sz w:val="18"/>
        </w:rPr>
        <w:t>Galderisi A et al.  ·  J Clin Endocrinol Metab  ·  31.08.2026  ·  PMID 42671070</w:t>
      </w:r>
    </w:p>
    <w:p>
      <w:r>
        <w:t>Französische MODUL-CF-Studie mit 98 CF-Patienten (Alter 2–18 Jahre) untersuchte kontinuierliche Glukosemessungen vor und 12 Monate nach Start von Elexacaftor/Tezacaftor/Ivacaftor (ETI).</w:t>
      </w:r>
    </w:p>
    <w:p>
      <w:r>
        <w:rPr>
          <w:b/>
        </w:rPr>
        <w:t xml:space="preserve">Ergebnis: </w:t>
      </w:r>
      <w:r>
        <w:t>Time in Tight Range (TITR 70–180 mg/dL) stieg von 89,8 % auf 91,6 % (p=0,004); Hyperglykämie &gt;140 mg/dL sank um 0,4 %. Variabilität sank (CV 21,5 % → 19,6 %, p&lt;0,001). Keine DKA oder schwere Hypoglykämie. Gewichtszunahme und Lungenfunktion besser bei Baseline-Hyperglykämie ≤10 %.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spezialisierte Kinderkliniken, seltenes Spezial-Setting</w:t>
      </w:r>
    </w:p>
    <w:p>
      <w:r>
        <w:rPr>
          <w:color w:val="5A7D3A"/>
          <w:sz w:val="18"/>
        </w:rPr>
        <w:t>https://pubmed.ncbi.nlm.nih.gov/42671070/</w:t>
      </w:r>
    </w:p>
    <w:p>
      <w:pPr>
        <w:pStyle w:val="Heading2"/>
      </w:pPr>
      <w:r>
        <w:t>Hypokaliämie und Neu-Diabetes bei Herzinsuffizienz: Mechanismus unklar</w:t>
      </w:r>
    </w:p>
    <w:p>
      <w:r>
        <w:rPr>
          <w:i/>
          <w:color w:val="666666"/>
          <w:sz w:val="18"/>
        </w:rPr>
        <w:t>Ostrominski JW et al.  ·  Diabetes Care  ·  28.08.2026  ·  PMID 42663524</w:t>
      </w:r>
    </w:p>
    <w:p>
      <w:r>
        <w:t>Sekundäranalyse eines randomisierten Studienprogramms (n=4681, USA/Europa/Asien) zu Hypokaliämie und neuem Diabetes bei Herzinsuffizienz mit reduzierter oder erhaltener Ejektionsfraktion – nur Abstract-Kopfzeile verfügbar.</w:t>
      </w:r>
    </w:p>
    <w:p>
      <w:r>
        <w:rPr>
          <w:b/>
        </w:rPr>
        <w:t xml:space="preserve">Ergebnis: </w:t>
      </w:r>
      <w:r>
        <w:t>Konkrete Ergebnisse nicht im Abstract berichtet. Titel signalisiert Assoziation, Daten fehlen.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Daten, USA-dominiert, Mechanismus unklar</w:t>
      </w:r>
    </w:p>
    <w:p>
      <w:r>
        <w:rPr>
          <w:color w:val="5A7D3A"/>
          <w:sz w:val="18"/>
        </w:rPr>
        <w:t>https://pubmed.ncbi.nlm.nih.gov/42663524/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CVD-Risikogleichungen für Diabetes: Alterskoeffizient unterscheidet Hocheinkommens- von Ländern mit niedrigerem Einkommen</w:t>
      </w:r>
    </w:p>
    <w:p>
      <w:r>
        <w:rPr>
          <w:i/>
          <w:color w:val="666666"/>
          <w:sz w:val="18"/>
        </w:rPr>
        <w:t>Liang J et al.  ·  BMJ  ·  11.09.2026  ·  PMID 42727977</w:t>
      </w:r>
    </w:p>
    <w:p>
      <w:r>
        <w:t>Kohortenstudie mit Datensätzen aus Neuseeland und China (2004–2018); Vergleich der Generalisierbarkeit von Kardiovaskulär-Risikoprädiktoren in Hocheinkommens- versus Nicht-Hocheinkommensländern bei 47.958 Neuseeländern und 46.558 Chinesen mit Diabetes und ohne CVD in der Vorgeschichte.</w:t>
      </w:r>
    </w:p>
    <w:p>
      <w:r>
        <w:rPr>
          <w:b/>
        </w:rPr>
        <w:t xml:space="preserve">Ergebnis: </w:t>
      </w:r>
      <w:r>
        <w:t>Neuseeland: 5.622 CVD-Ereignisse (11,7%), China: 3.650 (7,8%). Hazard Ratio für Alter pro 10 Jahre: Frauen Neuseeland 1,61 (95% CI 1,51–1,71), China 2,51 (2,32–2,72). Standard-Rekalibrierung verbesserte Kalibrierung in China nicht (E/O-Ratio: 0,938–0,809), Austausch von Alterskoeffizienten jedoch ja (1,027–1,025).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Länderübergreifende Methodik, zeigt Limitationen für Deutschland bei Verwendung internationaler Gleichungen.</w:t>
      </w:r>
    </w:p>
    <w:p>
      <w:r>
        <w:rPr>
          <w:color w:val="5A7D3A"/>
          <w:sz w:val="18"/>
        </w:rPr>
        <w:t>https://pubmed.ncbi.nlm.nih.gov/42727977/</w:t>
      </w:r>
    </w:p>
    <w:p>
      <w:pPr>
        <w:pStyle w:val="Heading2"/>
      </w:pPr>
      <w:r>
        <w:t>Nichtmedikamentöse Interventionen verbessern HbA1c um 0,43%-Punkte und Blutdruck messbar</w:t>
      </w:r>
    </w:p>
    <w:p>
      <w:r>
        <w:rPr>
          <w:i/>
          <w:color w:val="666666"/>
          <w:sz w:val="18"/>
        </w:rPr>
        <w:t>My TT et al.  ·  Diabetes Res Clin Pract  ·  11.09.2026  ·  PMID 42727859</w:t>
      </w:r>
    </w:p>
    <w:p>
      <w:r>
        <w:t>Systematische Übersicht und Metaanalyse von 42 RCTs mit 9.586 Teilnehmern zu Effektivität nichtmedikamentöser Interventionen (psychoedukativ, verhaltenstherapeutisch, Geräte, Telemed) auf Stoffwechselkontrolle bei Typ-2-Diabetes (Primärendpunkt: mindestens 3 Komponenten des metabolischen Syndroms).</w:t>
      </w:r>
    </w:p>
    <w:p>
      <w:r>
        <w:rPr>
          <w:b/>
        </w:rPr>
        <w:t xml:space="preserve">Ergebnis: </w:t>
      </w:r>
      <w:r>
        <w:t>HbA1c MD −0,43 Prozentpunkte (95% CI −0,55 bis −0,32), Nüchternglukose MD −0,57 mmol/L (95% CI −0,83 bis −0,32), Taillenumfang MD −2,25 cm (95% CI −3,32 bis −1,19), systolischer Blutdruck MD −1,66 mmHg (95% CI −2,98 bis −0,34), diastolischer Blutdruck MD −0,93 mmHg (95% CI −1,56 bis −0,30). Triglyceride und HDL nicht signifikant reduziert.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Evidenz, aber mit großer Heterogenität und Vorsicht vor Small-Study-Effekten geboten.</w:t>
      </w:r>
    </w:p>
    <w:p>
      <w:r>
        <w:rPr>
          <w:color w:val="5A7D3A"/>
          <w:sz w:val="18"/>
        </w:rPr>
        <w:t>https://pubmed.ncbi.nlm.nih.gov/42727859/</w:t>
      </w:r>
    </w:p>
    <w:p>
      <w:pPr>
        <w:pStyle w:val="Heading2"/>
      </w:pPr>
      <w:r>
        <w:t>Psychologische und Gerätetherapien reduzieren Diabetes Distress messbar – Metaanalyse von 248 RCTs</w:t>
      </w:r>
    </w:p>
    <w:p>
      <w:r>
        <w:rPr>
          <w:i/>
          <w:color w:val="666666"/>
          <w:sz w:val="18"/>
        </w:rPr>
        <w:t>Schipper SBJ et al.  ·  Diabetologia  ·  11.09.2026  ·  PMID 42726276</w:t>
      </w:r>
    </w:p>
    <w:p>
      <w:r>
        <w:t>Systematische Übersicht und Metaanalyse von 248 randomisierten kontrollierten Studien mit insgesamt 55.497 Teilnehmern zur Wirksamkeit von Interventionen zur Reduktion von Diabetes Distress (emotionale Belastung durch Diabetes-Management) bei Erwachsenen mit Typ-1- oder Typ-2-Diabetes.</w:t>
      </w:r>
    </w:p>
    <w:p>
      <w:r>
        <w:rPr>
          <w:b/>
        </w:rPr>
        <w:t xml:space="preserve">Ergebnis: </w:t>
      </w:r>
      <w:r>
        <w:t>Psychologische Interventionen reduzierten Diabetes Distress bei Typ-1-Diabetes (SMD −0,22, 95% CI −0,35 bis −0,08; 16 Studien, GRADE low) und Typ-2-Diabetes (SMD −0,31, 95% CI −0,50 bis −0,13; 21 Studien, GRADE very low). CGM reduzierte Distress bei Typ-1-Diabetes (SMD −0,26, 95% CI −0,41 bis −0,11; 6 Studien, GRADE moderate). Edukative Interventionen reduzierten Distress bei Typ-2-Diabetes (SMD −0,34, 95% CI −0,56 bis −0,11; 3 Studien, GRADE low). Andere Interventionen zeigten keine signifikanten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EASD-Leitlinie mit europäischen Koautoren, psychologische Interventionen praxisrelevant.</w:t>
      </w:r>
    </w:p>
    <w:p>
      <w:r>
        <w:rPr>
          <w:color w:val="5A7D3A"/>
          <w:sz w:val="18"/>
        </w:rPr>
        <w:t>https://pubmed.ncbi.nlm.nih.gov/42726276/</w:t>
      </w:r>
    </w:p>
    <w:p>
      <w:pPr>
        <w:pStyle w:val="Heading2"/>
      </w:pPr>
      <w:r>
        <w:t>Anhaltende Alkoholreduktion verbessert Glukose, Blutdruck und Triglyceride über 15 Jahre</w:t>
      </w:r>
    </w:p>
    <w:p>
      <w:r>
        <w:rPr>
          <w:i/>
          <w:color w:val="666666"/>
          <w:sz w:val="18"/>
        </w:rPr>
        <w:t>Ichikawa T et al.  ·  Diabetes Obes Metab  ·  09.09.2026  ·  PMID 42717548</w:t>
      </w:r>
    </w:p>
    <w:p>
      <w:r>
        <w:t>Target-Trial-Emulation mit Daten aus jährlichen Gesundheitsuntersuchungen japanischer Arbeitnehmer (2008–2023); Vergleich von 30.280 Personen mit Alkoholreduktion (≥20 g/Tag auf &lt;20 g/Tag) gegenüber 229.946 Kontrollpersonen mit ≥20 g/Tag Baseline-Konsum über 15 Jahre Nachbeobachtung.</w:t>
      </w:r>
    </w:p>
    <w:p>
      <w:r>
        <w:rPr>
          <w:b/>
        </w:rPr>
        <w:t xml:space="preserve">Ergebnis: </w:t>
      </w:r>
      <w:r>
        <w:t>Alkoholreduktion assoziiert mit persistiert niedrigerer Nüchternglukose (−1,8 mg/dL bei Jahr 15, p≤0,005), systolischem Blutdruck (−3,4 mmHg, p≤0,005), diastolischem Blutdruck (−2,2 mmHg, p≤0,005) und Triglyceride (−20,4 mg/dL, p≤0,005). HDL-Cholesterin konsistent niedriger, LDL-Cholesterin moderat höher in der Interventionsgruppe.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 betriebliche Gesundheitsdaten; Lebensstiländerung übertragbar auf deutsche Beratungspraxis.</w:t>
      </w:r>
    </w:p>
    <w:p>
      <w:r>
        <w:rPr>
          <w:color w:val="5A7D3A"/>
          <w:sz w:val="18"/>
        </w:rPr>
        <w:t>https://pubmed.ncbi.nlm.nih.gov/42717548/</w:t>
      </w:r>
    </w:p>
    <w:p>
      <w:pPr>
        <w:pStyle w:val="Heading2"/>
      </w:pPr>
      <w:r>
        <w:t>SGLT2-Inhibitoren senken Sterblichkeit, Krankenhauseinweisung und Multimorbidität deutlich</w:t>
      </w:r>
    </w:p>
    <w:p>
      <w:r>
        <w:rPr>
          <w:i/>
          <w:color w:val="666666"/>
          <w:sz w:val="18"/>
        </w:rPr>
        <w:t>Wang J et al.  ·  Eur J Endocrinol  ·  28.08.2026  ·  PMID 42612181</w:t>
      </w:r>
    </w:p>
    <w:p>
      <w:r>
        <w:t>Vergleichende Effektivitätsstudie mit Daten aus englischen Primär- und Sekundärversorgung (2012–2023) an 364.522 Erwachsenen mit Typ-2-Diabetes, die SGLT2-Inhibitoren oder DPP-4-Inhibitoren neu ansetzten; Endpunkte waren Sterblichkeit, Krankenhausaufnahmen und 59 Langzeiterkrankungen.</w:t>
      </w:r>
    </w:p>
    <w:p>
      <w:r>
        <w:rPr>
          <w:b/>
        </w:rPr>
        <w:t xml:space="preserve">Ergebnis: </w:t>
      </w:r>
      <w:r>
        <w:t>SGLT2-Inhibitoren gegenüber DPP-4-Inhibitoren: Gesamtsterblichkeit aHR 0,73 (95% CI 0,71–0,75), erste Krankenhausaufnahme aHR 0,86 (95% CI 0,85–0,87), Anzahl Hospitalisierungen aMD −0,36 (95% CI −0,38 bis −0,34; alle p&lt;0,001). 28 Erkrankungen mit reduziertem Risiko (Demenz, Krebs, Lebererkrankung, diabetisches Fußulkus, Epilepsie, Rheumatoide Arthritis), 4 mit erhöhtem Risiko (Candidose, DKA).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Englisches NHS-System, übertragbar auf deutsche GKV-Strukturen und DMP.</w:t>
      </w:r>
    </w:p>
    <w:p>
      <w:r>
        <w:rPr>
          <w:color w:val="5A7D3A"/>
          <w:sz w:val="18"/>
        </w:rPr>
        <w:t>https://pubmed.ncbi.nlm.nih.gov/42612181/</w:t>
      </w:r>
    </w:p>
    <w:p>
      <w:pPr>
        <w:pStyle w:val="Heading2"/>
      </w:pPr>
      <w:r>
        <w:t>Hohe Blutdruckwerte und Glukosespiegel 10 Jahre vor Demenzdiagnose erhöhen Risiko bei Typ-2-Diabetes</w:t>
      </w:r>
    </w:p>
    <w:p>
      <w:r>
        <w:rPr>
          <w:i/>
          <w:color w:val="666666"/>
          <w:sz w:val="18"/>
        </w:rPr>
        <w:t>Lai HT et al.  ·  BMJ Open Diabetes Res Care  ·  17.08.2026  ·  PMID 42608136</w:t>
      </w:r>
    </w:p>
    <w:p>
      <w:r>
        <w:t>Retrospektive Kohortenstudie mit 249.958 Erwachsenen mit Typ-2-Diabetes aus England (1999–2018); Untersuchung der Assoziation von 8 kardiometabolischen Markern mit Demenzrisiko, stratifiziert nach Messzeitpunkt (5, 5–10, ≥10 Jahre vor Diagnose).</w:t>
      </w:r>
    </w:p>
    <w:p>
      <w:r>
        <w:rPr>
          <w:b/>
        </w:rPr>
        <w:t xml:space="preserve">Ergebnis: </w:t>
      </w:r>
      <w:r>
        <w:t>22.492 Demenzfälle (1.257.998 Personenjahre). Diastolischer Blutdruck (90 vs. 80 mmHg): 21% höheres Demenzrisiko (95% CI 15–27%). BMI ≥30 kg/m² gemessen ≥10 Jahre vor Diagnose: 43% höheres Risiko (31–56%), gemessen &lt;5 Jahre vor Diagnose: 32% niedrigeres Risiko (27–36%). Höhere Glukose konsistent mit erhöhtem Risiko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Englische Primärversorgungsdaten, ähnliche Dokumentationspflichten wie Deutsche KHSystems.</w:t>
      </w:r>
    </w:p>
    <w:p>
      <w:r>
        <w:rPr>
          <w:color w:val="5A7D3A"/>
          <w:sz w:val="18"/>
        </w:rPr>
        <w:t>https://pubmed.ncbi.nlm.nih.gov/42608136/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MASLD bei Typ-2-Diabetes: zentrale Adiposität, nicht Alter, bestimmt Steatose</w:t>
      </w:r>
    </w:p>
    <w:p>
      <w:r>
        <w:rPr>
          <w:i/>
          <w:color w:val="666666"/>
          <w:sz w:val="18"/>
        </w:rPr>
        <w:t>Corrao S et al.  ·  Acta Diabetol  ·  10.09.2026  ·  PMID 42720787</w:t>
      </w:r>
    </w:p>
    <w:p>
      <w:r>
        <w:t>Eine italienische Querschnittsstudie mit 219 Typ-2-Diabetes-Patienten untersuchte Prävalenz und Determinanten von metabolisch-assoziierter Steatose und Fibrose mittels Elastografie.</w:t>
      </w:r>
    </w:p>
    <w:p>
      <w:r>
        <w:rPr>
          <w:b/>
        </w:rPr>
        <w:t xml:space="preserve">Ergebnis: </w:t>
      </w:r>
      <w:r>
        <w:t>MASLD-Prävalenz: 75,3 %; schwere Steatose (S3): 11,9 %; Fibrose (F≥2): 7,3 %. Männliches Geschlecht (OR 2,49) und Taillenumfang (OR 1,04 pro cm) waren unabhängig mit MASLD assoziiert. MASLD-Prävalenz stieg über Taillenumfang-Quartile (Trend p=0,001), Fibrosis zeigte keine Assoziation mit Adiposität (p=0,65). HbA1c und Diabetesdauer waren nicht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 – EU-Versorgung; adipositas-fokussiertes Hepatitis-Screening könnte in deutschen DMP integriert werden.</w:t>
      </w:r>
    </w:p>
    <w:p>
      <w:r>
        <w:rPr>
          <w:color w:val="5A7D3A"/>
          <w:sz w:val="18"/>
        </w:rPr>
        <w:t>https://pubmed.ncbi.nlm.nih.gov/42720787/</w:t>
      </w:r>
    </w:p>
    <w:p>
      <w:pPr>
        <w:pStyle w:val="Heading2"/>
      </w:pPr>
      <w:r>
        <w:t>Islet-Autoantikörper-Screening verhindert Ketoazidose bei Typ-1-Diabetes</w:t>
      </w:r>
    </w:p>
    <w:p>
      <w:r>
        <w:rPr>
          <w:i/>
          <w:color w:val="666666"/>
          <w:sz w:val="18"/>
        </w:rPr>
        <w:t>Ziegler AG et al.  ·  Diabetologia  ·  10.09.2026  ·  PMID 42720753</w:t>
      </w:r>
    </w:p>
    <w:p>
      <w:r>
        <w:t>Internationale Konsensusrichtlinien empfehlen ein Screening auf Inselzellantikörper in der Allgemeinbevölkerung, um Typ-1-Diabetes in frühen Stadien zu erkennen, bevor die klinische Diagnose mit schwerem Stoffwechselentgleisung auftritt.</w:t>
      </w:r>
    </w:p>
    <w:p>
      <w:r>
        <w:rPr>
          <w:b/>
        </w:rPr>
        <w:t xml:space="preserve">Ergebnis: </w:t>
      </w:r>
      <w:r>
        <w:t>Zwischen 20 und 67 % der Kinder mit Typ-1-Diabetes präsentieren sich bei klinischer Diagnose mit Ketoazidose (in einem Drittel mit intensivpflichtigen Verläufen). Früherkennung durch Antikörper ermöglicht die Prävention von Ketoazidose und milderere klinische Manifestation mit ausstätiger Insulineinleitung.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Evidenz, in Deutschland noch nicht implementiert – erfordert Screeningstruktur.</w:t>
      </w:r>
    </w:p>
    <w:p>
      <w:r>
        <w:rPr>
          <w:color w:val="5A7D3A"/>
          <w:sz w:val="18"/>
        </w:rPr>
        <w:t>https://pubmed.ncbi.nlm.nih.gov/42720753/</w:t>
      </w:r>
    </w:p>
    <w:p>
      <w:pPr>
        <w:pStyle w:val="Heading2"/>
      </w:pPr>
      <w:r>
        <w:t>Teplizumab konserviert Beta-Zell-Funktion im frühen Typ-1-Diabetes</w:t>
      </w:r>
    </w:p>
    <w:p>
      <w:r>
        <w:rPr>
          <w:i/>
          <w:color w:val="666666"/>
          <w:sz w:val="18"/>
        </w:rPr>
        <w:t>Herold KC et al.  ·  Diabetologia  ·  10.09.2026  ·  PMID 42720752</w:t>
      </w:r>
    </w:p>
    <w:p>
      <w:r>
        <w:t>Eine randomisierte klinische Studie untersuchte, ob die anti-CD3-Monoklonantiköper-Therapie Teplizumab Beta-Zellen vor Zerstörung bewahrt und die Insulinbehandlung reduziert.</w:t>
      </w:r>
    </w:p>
    <w:p>
      <w:r>
        <w:rPr>
          <w:b/>
        </w:rPr>
        <w:t xml:space="preserve">Ergebnis: </w:t>
      </w:r>
      <w:r>
        <w:t>Bei 275 Kindern zeigte Teplizumab signifikant höhere C-Peptid-Werte (0,14 nmol/l Unterschied, p&lt;0,001), Insulindosisreduktion um 0,17 U/kg/Tag und 6,17 % mehr Time in Range gegenüber Placebo bei Woche 78. Die Effekte waren unabhängig vom HLA-Subtyp stabil.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Praxisverändernd – FDA-zugelassene Therapie, aber nicht in Deutschland erstattet; könnte zentrale diabetologische Praxen erreichen.</w:t>
      </w:r>
    </w:p>
    <w:p>
      <w:r>
        <w:rPr>
          <w:color w:val="5A7D3A"/>
          <w:sz w:val="18"/>
        </w:rPr>
        <w:t>https://pubmed.ncbi.nlm.nih.gov/42720752/</w:t>
      </w:r>
    </w:p>
    <w:p>
      <w:pPr>
        <w:pStyle w:val="Heading2"/>
      </w:pPr>
      <w:r>
        <w:t>Thalamische Bioenergien-Störung bei schmerzhaftem diabetischen Polyneuropathie-Syndrom</w:t>
      </w:r>
    </w:p>
    <w:p>
      <w:r>
        <w:rPr>
          <w:i/>
          <w:color w:val="666666"/>
          <w:sz w:val="18"/>
        </w:rPr>
        <w:t>Sloan G et al.  ·  Diabetologia  ·  10.09.2026  ·  PMID 42720751</w:t>
      </w:r>
    </w:p>
    <w:p>
      <w:r>
        <w:t>Eine britische MR-Spektroskopie-Studie verglich Hirnstoffwechsel bei schmerzhaften und schmerzlosen Neuropathien, um Mechanismen der Neuropathie-Schmerzentwicklung zu klären.</w:t>
      </w:r>
    </w:p>
    <w:p>
      <w:r>
        <w:rPr>
          <w:b/>
        </w:rPr>
        <w:t xml:space="preserve">Ergebnis: </w:t>
      </w:r>
      <w:r>
        <w:t>Bei 49 Teilnehmern (38 mit T2DM, davon 18 mit schmerzhafter DPN, 11 schmerzlos) zeigte sich bei schmerzhafter DPN höheres NAA:Cholin-Verhältnis (neuronal Function) und signifikant niedrigeres Pi:ATP-Verhältnis (Bioenergien, p&lt;0,05). Schmerzintensität korrelierte mit thalamischem Pi:ATP. Diese Marker könnten objektive neuropathische Schmerzbiomarker für klinische Studien liefern.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 Klinikdaten – Mechanismus-Forschung könnte zu neuen DPN-Wirkstoffen führen; noch nicht patientennah implementierbar.</w:t>
      </w:r>
    </w:p>
    <w:p>
      <w:r>
        <w:rPr>
          <w:color w:val="5A7D3A"/>
          <w:sz w:val="18"/>
        </w:rPr>
        <w:t>https://pubmed.ncbi.nlm.nih.gov/42720751/</w:t>
      </w:r>
    </w:p>
    <w:p>
      <w:pPr>
        <w:pStyle w:val="Heading2"/>
      </w:pPr>
      <w:r>
        <w:t>Diabetes-Risikomodelle bedürfen Kalibrierung für Afrika und Europa</w:t>
      </w:r>
    </w:p>
    <w:p>
      <w:r>
        <w:rPr>
          <w:i/>
          <w:color w:val="666666"/>
          <w:sz w:val="18"/>
        </w:rPr>
        <w:t>Smidt MF et al.  ·  Diabetes Obes Metab  ·  01.09.2026  ·  PMID 42681823</w:t>
      </w:r>
    </w:p>
    <w:p>
      <w:r>
        <w:t>Externe Validierung etablierter Diabetes-Präventionsmodelle (u. a. Finnisches Risiko-Modell) in afrikanischen und europäischen Kohorten zeigte, dass alle Modelle schlecht diskriminieren und Risiken unterschätzen.</w:t>
      </w:r>
    </w:p>
    <w:p>
      <w:r>
        <w:rPr>
          <w:b/>
        </w:rPr>
        <w:t xml:space="preserve">Ergebnis: </w:t>
      </w:r>
      <w:r>
        <w:t>Alle fünf getesteten Modelle zeigten schwache Diskrimination (c-Statistic &lt;0,70) und systematische Risikounterschätzung. Nach lokaler Rekalibrierung wurden Kalibrierungsfehler auf ≤2,3 % (RODAM, VIP) bzw. ≤3,4 % (MASC) reduziert. Dysglykämie-Inzidenz variierte stark: 17,7 % (RODAM), 35,0 % (MASC), 27,5 % (VIP).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Kohorten (Schweden, Niederlande); zeigt Grenze globaler Modelle – lokale Anpassung notwendig.</w:t>
      </w:r>
    </w:p>
    <w:p>
      <w:r>
        <w:rPr>
          <w:color w:val="5A7D3A"/>
          <w:sz w:val="18"/>
        </w:rPr>
        <w:t>https://pubmed.ncbi.nlm.nih.gov/42681823/</w:t>
      </w:r>
    </w:p>
    <w:p>
      <w:pPr>
        <w:pStyle w:val="Heading2"/>
      </w:pPr>
      <w:r>
        <w:t>Mütterliches Alter und BMI erhöhen Gestationsdiabetes-Risiko unabhängig</w:t>
      </w:r>
    </w:p>
    <w:p>
      <w:r>
        <w:rPr>
          <w:i/>
          <w:color w:val="666666"/>
          <w:sz w:val="18"/>
        </w:rPr>
        <w:t>Zanardo V et al.  ·  Diabetes Res Clin Pract  ·  22.08.2026  ·  PMID 42632458</w:t>
      </w:r>
    </w:p>
    <w:p>
      <w:r>
        <w:t>Eine italienische Kohorte mit niedriger Parität und verzögerter Fertilität untersuchte unabhängige und kombinierte Effekte dieser Faktoren auf das Gestationsdiabetes-Risiko.</w:t>
      </w:r>
    </w:p>
    <w:p>
      <w:r>
        <w:rPr>
          <w:b/>
        </w:rPr>
        <w:t xml:space="preserve">Ergebnis: </w:t>
      </w:r>
      <w:r>
        <w:t>Von 2.560 Frauen mit später/niedriger Fertilität entwickelten 231 (9,9 %) Gestationsdiabetes. GDM-Prävalenz stieg mit Alter: 36 Jahre (median) bei GDM vs. 33 Jahre bei Kontrollen (p&lt;0,001) und erreichte 16,1 % nach 40 Jahren. BMI bei Geburt war unabhängig assoziiert (27,9 vs. 26,8 kg/m², p&lt;0,05). Keine Alters-Parität-Interaktion.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Daten (Italien), vergleichbare Sozialversicherung – übertragbar auf Deutsche Schwangerenvorsorge.</w:t>
      </w:r>
    </w:p>
    <w:p>
      <w:r>
        <w:rPr>
          <w:color w:val="5A7D3A"/>
          <w:sz w:val="18"/>
        </w:rPr>
        <w:t>https://pubmed.ncbi.nlm.nih.gov/42632458/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Einjährige Progression von Prädiabetes zu Typ-2-Diabetes in türkischer Primärversorgung: 5,9%</w:t>
      </w:r>
    </w:p>
    <w:p>
      <w:r>
        <w:rPr>
          <w:i/>
          <w:color w:val="666666"/>
          <w:sz w:val="18"/>
        </w:rPr>
        <w:t>Tapur AS et al.  ·  Prim Care Diabetes  ·  09.09.2026  ·  PMID 42716862</w:t>
      </w:r>
    </w:p>
    <w:p>
      <w:r>
        <w:t>Prospektive Kohortenstudie in der Türkei zu Prädiabetes-Fortschreitung (n=152, Follow-up 1 Jahr) mit Charakterisierung von Progressoren und Nicht-Progressoren.</w:t>
      </w:r>
    </w:p>
    <w:p>
      <w:r>
        <w:rPr>
          <w:b/>
        </w:rPr>
        <w:t xml:space="preserve">Ergebnis: </w:t>
      </w:r>
      <w:r>
        <w:t>Progressionsrate 5,9% (95%-KI 2,7–10,9%, 9 Fälle). Alle 9 Fälle traten bei kombinierter Nüchtern-Glukose- und Glukosetoleranzstörung auf. Progressoren hatten höher BMI, Taillenumfang, Nüchternglukose, HbA1c und 2-h-Glukose. 2-h-Glukose zeigte stärkste Trennung; alle Befunde aufgrund niedriger Fallzahl unvalidiert und hypothesengenerierend.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Primärversorgung Türkei; Transferierbarkeit limitiert (kleine Fallzahl, keine Validierung)</w:t>
      </w:r>
    </w:p>
    <w:p>
      <w:r>
        <w:rPr>
          <w:color w:val="5A7D3A"/>
          <w:sz w:val="18"/>
        </w:rPr>
        <w:t>https://pubmed.ncbi.nlm.nih.gov/42716862/</w:t>
      </w:r>
    </w:p>
    <w:p>
      <w:pPr>
        <w:pStyle w:val="Heading2"/>
      </w:pPr>
      <w:r>
        <w:t>10-kHz Rückenmarkstimulation lindert Schmerz und bessert Nervenfunktion bei diabetischer Neuropathie</w:t>
      </w:r>
    </w:p>
    <w:p>
      <w:r>
        <w:rPr>
          <w:i/>
          <w:color w:val="666666"/>
          <w:sz w:val="18"/>
        </w:rPr>
        <w:t>Hurley RW et al.  ·  Diabetes Care  ·  09.09.2026  ·  PMID 42713876</w:t>
      </w:r>
    </w:p>
    <w:p>
      <w:r>
        <w:t>Randomisierte Kontrollstudie (PDN-Sensory) zur hochfrequenten Rückenmarkstimulation gegen konventionelle Behandlung bei schmerzhafter diabetischer Neuropathie mit Schmerzlinderung und sensorischen Endpunkten.</w:t>
      </w:r>
    </w:p>
    <w:p>
      <w:r>
        <w:rPr>
          <w:b/>
        </w:rPr>
        <w:t xml:space="preserve">Ergebnis: </w:t>
      </w:r>
      <w:r>
        <w:t>Schmerzlinderung ≥50% erreichten 79% (27/34) der Stimulationsgruppe vs. 4% (2/50) Kontrollen (p&lt;0,001). Sensorische Verbesserung (≥3-Punkte-Reduktion mTCNS) in 55% vs. 25% (p=0,01). Mittlere Zunahme der intraepidermalen Nervenfaserdichte +0,58 Fasern/mm vs. –0,07 in der Kontrollgruppe (p=0,03). Primär- und 8 von 10 sekundären Endpunkten erreicht.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USA/angelsächsisches System; Sicherheits- und Wirksamkeitsdaten geographieunabhängig</w:t>
      </w:r>
    </w:p>
    <w:p>
      <w:r>
        <w:rPr>
          <w:color w:val="5A7D3A"/>
          <w:sz w:val="18"/>
        </w:rPr>
        <w:t>https://pubmed.ncbi.nlm.nih.gov/42713876/</w:t>
      </w:r>
    </w:p>
    <w:p>
      <w:pPr>
        <w:pStyle w:val="Heading2"/>
      </w:pPr>
      <w:r>
        <w:t>Mortalität bei diabetischem Fusssyndrom höher als bei Krebs in drei internationalen Kohorten</w:t>
      </w:r>
    </w:p>
    <w:p>
      <w:r>
        <w:rPr>
          <w:i/>
          <w:color w:val="666666"/>
          <w:sz w:val="18"/>
        </w:rPr>
        <w:t>Zeng Q et al.  ·  Diabetes Metab Res Rev  ·  Sept. 2026  ·  PMID 42708860</w:t>
      </w:r>
    </w:p>
    <w:p>
      <w:r>
        <w:t>Vergleich der Sterblichkeit von Patienten mit diabetischem Fusssyndrom und verschiedenen Krebsarten anhand von Daten aus NHANES, UK Biobank und einer chinesischen Diabetes-Registry.</w:t>
      </w:r>
    </w:p>
    <w:p>
      <w:r>
        <w:rPr>
          <w:b/>
        </w:rPr>
        <w:t xml:space="preserve">Ergebnis: </w:t>
      </w:r>
      <w:r>
        <w:t>Patienten mit diabetischem Fusssyndrom hatten eine um 38 bis 499% höhere Sterblichkeit als Patienten mit Krebs insgesamt (Hazard Ratios 1,35–10,69 je nach Kohort und Krebsart). Die Sterblichkeit des diabetischen Fusssyndroms war ähnlich wie bei Dickdarm-, Lymph- und Nierenkarzinom und niedriger nur als bei Lungen-, Pankreas- und Leberkarzinom. Eine eindrucksvolle Demonstration der schwerwiegenden Prognose dieser Komplikation.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Kohortenanalyse; Konsequenz für Priorisierung von Versorgungsressourcen und Prävention</w:t>
      </w:r>
    </w:p>
    <w:p>
      <w:r>
        <w:rPr>
          <w:color w:val="5A7D3A"/>
          <w:sz w:val="18"/>
        </w:rPr>
        <w:t>https://pubmed.ncbi.nlm.nih.gov/42708860/</w:t>
      </w:r>
    </w:p>
    <w:p>
      <w:pPr>
        <w:pStyle w:val="Heading2"/>
      </w:pPr>
      <w:r>
        <w:t>Glukosemessung identifiziert Typ-1-Diabetes in frühen Stadien und Schnellfortschrittler</w:t>
      </w:r>
    </w:p>
    <w:p>
      <w:r>
        <w:rPr>
          <w:i/>
          <w:color w:val="666666"/>
          <w:sz w:val="18"/>
        </w:rPr>
        <w:t>Weiss A et al.  ·  Diabetologia  ·  07.09.2026  ·  PMID 42704479</w:t>
      </w:r>
    </w:p>
    <w:p>
      <w:r>
        <w:t>Kontinuierliche Glukosemessung mit FreeStyle Libre Pro iQ bei Kindern mit und ohne Diabetesautoantikörpern zur Unterscheidung von Krankheitsstadien und zur Risikoschichtung.</w:t>
      </w:r>
    </w:p>
    <w:p>
      <w:r>
        <w:rPr>
          <w:b/>
        </w:rPr>
        <w:t xml:space="preserve">Ergebnis: </w:t>
      </w:r>
      <w:r>
        <w:t>Bei frühem Typ-1-Diabetes hatten 22% (Stadium 1) und 52% (Stadium 2) erhöhte Glukoseparameter (oberhalb 97,5. Perzentil). Bei der Metrik »Zeit &gt;140 mg/dL« (TA140) &gt;15% wurden 75–100% der innerhalb eines Jahres zu klinischem Diabetes Fortschreitenden erkannt (Sensitivität). Systemabhängig variierende Referenzwerte erfordern Harmonisierung vor klinischer Anwendung.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Studiengruppe Fr1da (München); Transfer in deutsche Früherkennung realistisch</w:t>
      </w:r>
    </w:p>
    <w:p>
      <w:r>
        <w:rPr>
          <w:color w:val="5A7D3A"/>
          <w:sz w:val="18"/>
        </w:rPr>
        <w:t>https://pubmed.ncbi.nlm.nih.gov/42704479/</w:t>
      </w:r>
    </w:p>
    <w:p>
      <w:pPr>
        <w:pStyle w:val="Heading2"/>
      </w:pPr>
      <w:r>
        <w:t>Soziale Ungleichheit bei Gestationsdiabetes und Komplikationslast in Schweden</w:t>
      </w:r>
    </w:p>
    <w:p>
      <w:r>
        <w:rPr>
          <w:i/>
          <w:color w:val="666666"/>
          <w:sz w:val="18"/>
        </w:rPr>
        <w:t>Kaegi-Braun N et al.  ·  J Clin Endocrinol Metab  ·  07.09.2026  ·  PMID 42702813</w:t>
      </w:r>
    </w:p>
    <w:p>
      <w:r>
        <w:t>Nationale Kohortenstudie zu Assoziation von Herkunft, Bildung, Einkommen mit Gestationsdiabetes-Prävalenz und Komplikationen in 938.798 Schwangerschaften (2015–2023).</w:t>
      </w:r>
    </w:p>
    <w:p>
      <w:r>
        <w:rPr>
          <w:b/>
        </w:rPr>
        <w:t xml:space="preserve">Ergebnis: </w:t>
      </w:r>
      <w:r>
        <w:t>Gestationsdiabetes-Prävalenz stieg von 1,5% (2015) auf 6,6% (2023), steepest bei Migrationshintergrund, niedrigerer Bildung und niedrigerem Einkommen. Relative Assoziationen mit Schwangerschafts- und geburtshilflichen Komplikationen waren bei niedrigerer Bildung stärker (p-Interaktion=0,029, 0,038). Assoziation varierte nach Herkunftsregion; Absolute Risiken aber nicht uniformly niedriger bei Migrantinnen.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Schwedisches Registers; Vergleichbar mit deutschem Sozialversicherungssystem und Versorgungsauftrag</w:t>
      </w:r>
    </w:p>
    <w:p>
      <w:r>
        <w:rPr>
          <w:color w:val="5A7D3A"/>
          <w:sz w:val="18"/>
        </w:rPr>
        <w:t>https://pubmed.ncbi.nlm.nih.gov/42702813/</w:t>
      </w:r>
    </w:p>
    <w:p>
      <w:pPr>
        <w:pStyle w:val="Heading2"/>
      </w:pPr>
      <w:r>
        <w:t>Amputation bei Typ-2-Diabetes: 2,5-faches Herz-Kreislauf-Sterberisiko im Folgejahr</w:t>
      </w:r>
    </w:p>
    <w:p>
      <w:r>
        <w:rPr>
          <w:i/>
          <w:color w:val="666666"/>
          <w:sz w:val="18"/>
        </w:rPr>
        <w:t>Bergqvist K et al.  ·  Cardiovasc Diabetol  ·  24.08.2026  ·  PMID 42649507</w:t>
      </w:r>
    </w:p>
    <w:p>
      <w:r>
        <w:t>Bevölkerungsstudie zur kardiovaskulären Prognose nach Amputation bei Typ-2-Diabetes anhand des Schwedischen Nationaldiabetesregisters (2006–2019) mit Matching auf 13.940 Kontrollen ohne Amputation.</w:t>
      </w:r>
    </w:p>
    <w:p>
      <w:r>
        <w:rPr>
          <w:b/>
        </w:rPr>
        <w:t xml:space="preserve">Ergebnis: </w:t>
      </w:r>
      <w:r>
        <w:t>Adjustierte Hazard Ratios für Amputierte: Gesamtsterblichkeit 2,46 (95%-KI 2,31–2,61), kardiovaskuläre Sterblichkeit 2,43 (2,18–2,71), Herzinsuffizienz 2,13 (1,92–2,36), Myokardinfarkt 1,79 (1,55–2,08), Schlaganfall 1,52 (1,31–1,76). Im ersten Jahr nach Amputation &gt;3-fach erhöht, nach 5 Jahren noch um 50% erhöht.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Schwedisches Gesundheitssystem, nationale Registers; übertragbar auf deutsches Versicherungsregime</w:t>
      </w:r>
    </w:p>
    <w:p>
      <w:r>
        <w:rPr>
          <w:color w:val="5A7D3A"/>
          <w:sz w:val="18"/>
        </w:rPr>
        <w:t>https://pubmed.ncbi.nlm.nih.gov/42649507/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Diabetes</dc:title>
  <dc:subject/>
  <dc:creator>Monitor Versorgungsforschung</dc:creator>
  <cp:keywords/>
  <dc:description>generated by python-docx</dc:description>
  <cp:lastModifiedBy/>
  <cp:revision>1</cp:revision>
  <dcterms:created xsi:type="dcterms:W3CDTF">2026-09-16T06:00:00Z</dcterms:created>
  <dcterms:modified xsi:type="dcterms:W3CDTF">2026-09-16T06:00:00Z</dcterms:modified>
  <cp:category/>
</cp:coreProperties>
</file>