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30.10.2026  |  300 Studien  |  diabetes.m-vf.de</w:t>
      </w:r>
    </w:p>
    <w:p>
      <w:pPr>
        <w:pStyle w:val="Heading1"/>
      </w:pPr>
      <w:r>
        <w:t>Aufgenommen am 30.10.2026</w:t>
      </w:r>
    </w:p>
    <w:p>
      <w:pPr>
        <w:pStyle w:val="Heading2"/>
      </w:pPr>
      <w:r>
        <w:t>Semaglutide zur Adipositastherapie: 67,6 % Abbruch im ersten Jahr, Dosis und frühe Gewichtsabnahme sind Prädiktoren</w:t>
      </w:r>
    </w:p>
    <w:p>
      <w:r>
        <w:rPr>
          <w:i/>
          <w:color w:val="666666"/>
          <w:sz w:val="18"/>
        </w:rPr>
        <w:t>Winter E et al.  ·  Diabetes Obes Metab  ·  29.10.2026  ·  PMID 42957437</w:t>
      </w:r>
    </w:p>
    <w:p>
      <w:r>
        <w:t>Retrospektive Kohortenstudie aus der israelischen Clalit-Krankenkasse mit 34.309 adipösen Patienten ohne Diabetes, die zwischen Januar und Mai 2025 Semaglutide (Wegovy) initiiert hatten, verfolgt Persistenz, Abbruchmuster und Tirzepatid-Adoption über 12 Monate.</w:t>
      </w:r>
    </w:p>
    <w:p>
      <w:r>
        <w:rPr>
          <w:b/>
        </w:rPr>
        <w:t xml:space="preserve">Ergebnis: </w:t>
      </w:r>
      <w:r>
        <w:t>Kumulative Abbruchrate 36,5 % nach 180 Tagen und 67,6 % nach 365 Tagen. Prädiktoren für Abbruch: arabische Bevölkerung (HR 1,65), niedriger soziökonomieller Status (HR 1,13), Rauchen (HR 1,13). Day-90-Verbleib auf 0,25 mg vs. 1,0 mg mit HR 1,88 für späteren Abbruch assoziiert. Jeder %-Punkt weniger BMI-Reduktion erhöhte Abbruchgefahr um 3 % (HR 1,03). Nach Tirzepatid-Verfügbarkeit (Dezember 2025): 8,6 % wechselten zu dieser Substanz.</w:t>
      </w:r>
    </w:p>
    <w:p>
      <w:r>
        <w:rPr>
          <w:b/>
          <w:sz w:val="19"/>
        </w:rPr>
        <w:t xml:space="preserve">Übertragbarkeit: </w:t>
      </w:r>
      <w:r>
        <w:rPr>
          <w:sz w:val="19"/>
        </w:rPr>
        <w:t>Israel, vergleichbares Versicherungssystem; Adhärenz-Daten für deutsches DMP-Design relevant</w:t>
      </w:r>
    </w:p>
    <w:p>
      <w:r>
        <w:rPr>
          <w:color w:val="5A7D3A"/>
          <w:sz w:val="18"/>
        </w:rPr>
        <w:t>https://pubmed.ncbi.nlm.nih.gov/42957437/</w:t>
      </w:r>
    </w:p>
    <w:p>
      <w:pPr>
        <w:pStyle w:val="Heading2"/>
      </w:pPr>
      <w:r>
        <w:t>Typ-2-Diabetes erhöht Sarkopenierisiko um 61 %, diabetisches Fußsyndrom zeigt stärkste Assoziation</w:t>
      </w:r>
    </w:p>
    <w:p>
      <w:r>
        <w:rPr>
          <w:i/>
          <w:color w:val="666666"/>
          <w:sz w:val="18"/>
        </w:rPr>
        <w:t>Chen W et al.  ·  Diabetes Res Clin Pract  ·  29.10.2026  ·  PMID 42956840</w:t>
      </w:r>
    </w:p>
    <w:p>
      <w:r>
        <w:t>Metaanalyse aus 35 Beobachtungsstudien zum Zusammenhang zwischen Typ-2-Diabetes und Sarcopenie bei Erwachsenen, stratifiziert nach Designs, Regionen und Methoden zur Muskelmassenmessung.</w:t>
      </w:r>
    </w:p>
    <w:p>
      <w:r>
        <w:rPr>
          <w:b/>
        </w:rPr>
        <w:t xml:space="preserve">Ergebnis: </w:t>
      </w:r>
      <w:r>
        <w:t>T2DM mit höheren Odds für Sarcopenie gegenüber nicht-diabetischen Kontrollen (gepoolte OR 1,61; 95%-KI 1,26–2,06). Befunde konsistent über Designs und Regionen; diabetisches Fußsyndrom assoziiert mit höherer Sarcopenie-OR, während Retinopathie, Nephropathie und Neuropathie keine signifikanten Effekte zeigten. Prediabetes nicht signifikant assoziiert (OR 1,16).</w:t>
      </w:r>
    </w:p>
    <w:p>
      <w:r>
        <w:rPr>
          <w:b/>
          <w:sz w:val="19"/>
        </w:rPr>
        <w:t xml:space="preserve">Übertragbarkeit: </w:t>
      </w:r>
      <w:r>
        <w:rPr>
          <w:sz w:val="19"/>
        </w:rPr>
        <w:t>Globale Evidenz, vergleichbare Sarcopenie-Definitionen; Empfehlung für Muskelgesundheits-Screening bei anfälligen Diabetespatienten</w:t>
      </w:r>
    </w:p>
    <w:p>
      <w:r>
        <w:rPr>
          <w:color w:val="5A7D3A"/>
          <w:sz w:val="18"/>
        </w:rPr>
        <w:t>https://pubmed.ncbi.nlm.nih.gov/42956840/</w:t>
      </w:r>
    </w:p>
    <w:p>
      <w:pPr>
        <w:pStyle w:val="Heading2"/>
      </w:pPr>
      <w:r>
        <w:t>Schlafmangel und lange Schlafnächte prägen Glukosestoffwechsel durch unterschiedliche genetische Pfade</w:t>
      </w:r>
    </w:p>
    <w:p>
      <w:r>
        <w:rPr>
          <w:i/>
          <w:color w:val="666666"/>
          <w:sz w:val="18"/>
        </w:rPr>
        <w:t>Wang H et al.  ·  Diabetes  ·  29.10.2026  ·  PMID 42954775</w:t>
      </w:r>
    </w:p>
    <w:p>
      <w:r>
        <w:t>Genomweite Assoziationsstudie an &gt;480.000 Personen identifizierte 16 Loci (11 neu), die mit kurzer oder langer Schlafdauer interagieren und HbA1c, Nüchternglukose oder Nüchterninsulinspiegel beeinflussen – mit unterschiedlichen zellulären Mechanismen für beide Schlafphänotypen.</w:t>
      </w:r>
    </w:p>
    <w:p>
      <w:r>
        <w:rPr>
          <w:b/>
        </w:rPr>
        <w:t xml:space="preserve">Ergebnis: </w:t>
      </w:r>
      <w:r>
        <w:t>Kurz- und Langschlaf-assoziierte Loci zeigten keine Überlappung. Langschlaf-Loci regulieren Kupfer- und Diacylglycerin-Spiegel, Kurzschlaf-Loci beeinflussen JIP1-c-Jun-N-terminale-Kinase-Interaktion, Perizytenfunktion und N-Methyl-D-Aspartat-Rezeptor-Aktivität. Potenzielle therapeutische Zielstrukturen entstanden aus den Analysen.</w:t>
      </w:r>
    </w:p>
    <w:p>
      <w:r>
        <w:rPr>
          <w:b/>
          <w:sz w:val="19"/>
        </w:rPr>
        <w:t xml:space="preserve">Übertragbarkeit: </w:t>
      </w:r>
      <w:r>
        <w:rPr>
          <w:sz w:val="19"/>
        </w:rPr>
        <w:t>Internationale Kohorte mit deutschem Forschungszentrum (Greifswald); grundlagenorientiert mit klinischem Anwendungspfad</w:t>
      </w:r>
    </w:p>
    <w:p>
      <w:r>
        <w:rPr>
          <w:color w:val="5A7D3A"/>
          <w:sz w:val="18"/>
        </w:rPr>
        <w:t>https://pubmed.ncbi.nlm.nih.gov/42954775/</w:t>
      </w:r>
    </w:p>
    <w:p>
      <w:pPr>
        <w:pStyle w:val="Heading2"/>
      </w:pPr>
      <w:r>
        <w:t>GLP-1-Rezeptoragonisten reduzieren kardiovaskuläre und renale Endpunkte, erhöhen aber Muskel- und Magen-Darm-Risiken</w:t>
      </w:r>
    </w:p>
    <w:p>
      <w:r>
        <w:rPr>
          <w:i/>
          <w:color w:val="666666"/>
          <w:sz w:val="18"/>
        </w:rPr>
        <w:t>Vashisht R et al.  ·  J Diabetes Sci Technol  ·  28.10.2026  ·  PMID 42949133</w:t>
      </w:r>
    </w:p>
    <w:p>
      <w:r>
        <w:t>Target-Trial-Emulation an 70.982 Patienten in 5 kalifornischen Universitätskliniken (2012–2025) verglich neu initiierte GLP-1RA mit Sulfonylharnstoffen, SGLT2-Hemmern und DPP4-Hemmern über bis zu 5 Jahre anhand von &gt;11.000 Kovariaten und prä-spezifizierten Endpunkten.</w:t>
      </w:r>
    </w:p>
    <w:p>
      <w:r>
        <w:rPr>
          <w:b/>
        </w:rPr>
        <w:t xml:space="preserve">Ergebnis: </w:t>
      </w:r>
      <w:r>
        <w:t>118 robuste Assoziationen identifiziert: 65 Risikoreduktionen (Myokarditis/Kardiomyopathie HR 0,38, Myokardinfarkt HR 0,53, Nierenerkrankungen HR 0,73) und 53 erhöhte Risiken (Osteoarthritis HR 1,48, Stressfrakturen HR 1,68, Schlaf-Wach-Störungen HR 1,27–1,54). Befunde konsistent über Zentren, mit leave-one-out-Validierung und False-Discovery-Rate-Kontrolle.</w:t>
      </w:r>
    </w:p>
    <w:p>
      <w:r>
        <w:rPr>
          <w:b/>
          <w:sz w:val="19"/>
        </w:rPr>
        <w:t xml:space="preserve">Übertragbarkeit: </w:t>
      </w:r>
      <w:r>
        <w:rPr>
          <w:sz w:val="19"/>
        </w:rPr>
        <w:t>USA – Strukturen mit breiter EHR-Integration nicht direkt auf Deutschland übertragbar, aber Sicherheitsbefunde relevant</w:t>
      </w:r>
    </w:p>
    <w:p>
      <w:r>
        <w:rPr>
          <w:color w:val="5A7D3A"/>
          <w:sz w:val="18"/>
        </w:rPr>
        <w:t>https://pubmed.ncbi.nlm.nih.gov/42949133/</w:t>
      </w:r>
    </w:p>
    <w:p>
      <w:pPr>
        <w:pStyle w:val="Heading2"/>
      </w:pPr>
      <w:r>
        <w:t>Postprandiale MR-proANP-Dynamik bei Insulinresistenz stärker als bei Diabetes</w:t>
      </w:r>
    </w:p>
    <w:p>
      <w:r>
        <w:rPr>
          <w:i/>
          <w:color w:val="666666"/>
          <w:sz w:val="18"/>
        </w:rPr>
        <w:t>Lishkova G et al.  ·  Cardiovasc Diabetol  ·  26.10.2026  ·  PMID 42947108</w:t>
      </w:r>
    </w:p>
    <w:p>
      <w:r>
        <w:t>Die BeLOVE-Studie untersuchte, wie sich Natriuretische Peptide und Copeptin nach einer standardisierten Testmahlzeit bei 373 Patienten nach akutem Koronarsyndrom, Schlaganfall oder sehr hohem chronischem kardiovaskulärem Risiko verändern und wie diese Dynamik mit Typ-2-Diabetes und Insulinresistenz assoziiert sind.</w:t>
      </w:r>
    </w:p>
    <w:p>
      <w:r>
        <w:rPr>
          <w:b/>
        </w:rPr>
        <w:t xml:space="preserve">Ergebnis: </w:t>
      </w:r>
      <w:r>
        <w:t>MR-proANP zeigte die stärkste postprandiale Suppression. Insulinresistenz (HOMA-IR) war unabhängig mit niedrigerer fastender MR-proANP (β=-0,19) und stärkerer postprandialer Abnahme (β=-0,18) assoziiert; Typ-2-Diabetes hingegen zeigte keine konsistente Assoziation. Dies deutet darauf hin, dass postprandiale MR-proANP-Dynamik eher Insulinresistenz als Diabetesstatus widerspiegelt.</w:t>
      </w:r>
    </w:p>
    <w:p>
      <w:r>
        <w:rPr>
          <w:b/>
          <w:sz w:val="19"/>
        </w:rPr>
        <w:t xml:space="preserve">Übertragbarkeit: </w:t>
      </w:r>
      <w:r>
        <w:rPr>
          <w:sz w:val="19"/>
        </w:rPr>
        <w:t>Deutschland, Charité-Studie mit deutscher Registrierung; vergleichbares Gesundheitssystem</w:t>
      </w:r>
    </w:p>
    <w:p>
      <w:r>
        <w:rPr>
          <w:color w:val="5A7D3A"/>
          <w:sz w:val="18"/>
        </w:rPr>
        <w:t>https://pubmed.ncbi.nlm.nih.gov/42947108/</w:t>
      </w:r>
    </w:p>
    <w:p>
      <w:pPr>
        <w:pStyle w:val="Heading2"/>
      </w:pPr>
      <w:r>
        <w:t>Remission von Typ-2-Diabetes in jungen Patienten: Sozialstütze und Motivationswechsel essentiell, aber Essensbeziehung bleibt Hürde</w:t>
      </w:r>
    </w:p>
    <w:p>
      <w:r>
        <w:rPr>
          <w:i/>
          <w:color w:val="666666"/>
          <w:sz w:val="18"/>
        </w:rPr>
        <w:t>Zaghloul H et al.  ·  Diabet Med  ·  27.10.2026  ·  PMID 42944694</w:t>
      </w:r>
    </w:p>
    <w:p>
      <w:r>
        <w:t>Qualitative Interviewstudie mit 28 jungen Typ-2-Diabetes-Patienten aus der DIADEM-I-RCT (intensives Lifestyle-Intervention mit Totaldiätaustausch vs. Standardbehandlung), untersucht nach 12 Monaten Motivatoren, Förderfaktoren und Barrieren für Verhaltensänderung und Remission.</w:t>
      </w:r>
    </w:p>
    <w:p>
      <w:r>
        <w:rPr>
          <w:b/>
        </w:rPr>
        <w:t xml:space="preserve">Ergebnis: </w:t>
      </w:r>
      <w:r>
        <w:t>Kernmotivatoren: Remissionswunsch, Gewichtsreduktion, Medikamentenfreiheit. Erfolgreich waren Patienten mit Paradigmenwechsel zu gesundem Verhalten, starker sozialer Unterstützung und intrinsischen Faktoren. Barrieren: Gesundheitsprobleme, dysfunktionale Essensbeziehung, Umweltfaktoren. Kulturelle Sensitivität und kontinuierliche Unterstützung wurden als entscheidend identifiziert.</w:t>
      </w:r>
    </w:p>
    <w:p>
      <w:r>
        <w:rPr>
          <w:b/>
          <w:sz w:val="19"/>
        </w:rPr>
        <w:t xml:space="preserve">Übertragbarkeit: </w:t>
      </w:r>
      <w:r>
        <w:rPr>
          <w:sz w:val="19"/>
        </w:rPr>
        <w:t>Katar – prinzipiell internationale Erkenntnisse zu Verhaltensänderung; Design und Befunde für europäische Versorgung von Interesse</w:t>
      </w:r>
    </w:p>
    <w:p>
      <w:r>
        <w:rPr>
          <w:color w:val="5A7D3A"/>
          <w:sz w:val="18"/>
        </w:rPr>
        <w:t>https://pubmed.ncbi.nlm.nih.gov/42944694/</w:t>
      </w:r>
    </w:p>
    <w:p>
      <w:pPr>
        <w:pStyle w:val="Heading1"/>
      </w:pPr>
      <w:r>
        <w:t>Aufgenommen am 29.10.2026</w:t>
      </w:r>
    </w:p>
    <w:p>
      <w:pPr>
        <w:pStyle w:val="Heading2"/>
      </w:pPr>
      <w:r>
        <w:t>3,4 % Zöliakie-Inzidenz innerhalb 5 Jahren nach Typ-1-Diabetes-Diagnose bei Kindern</w:t>
      </w:r>
    </w:p>
    <w:p>
      <w:r>
        <w:rPr>
          <w:i/>
          <w:color w:val="666666"/>
          <w:sz w:val="18"/>
        </w:rPr>
        <w:t>Al-Kandari H et al.  ·  Diabetes Metab Res Rev  ·  Okt. 2026  ·  PMID 42949632</w:t>
      </w:r>
    </w:p>
    <w:p>
      <w:r>
        <w:t>Prospektive Kohortenstudie mit 1938 Kindern (≤14 Jahre) mit neu diagnostiziertem Typ-1-Diabetes in Kuwait, 2011–2017 rekrutiert, 5 Jahre nachverfolgt; Zöliakie definiert durch Darmbiopsie-Bestätigung.</w:t>
      </w:r>
    </w:p>
    <w:p>
      <w:r>
        <w:rPr>
          <w:b/>
        </w:rPr>
        <w:t xml:space="preserve">Ergebnis: </w:t>
      </w:r>
      <w:r>
        <w:t>65 von 1934 Kindern (3,4 %) entwickelten Zöliakie während Follow-up. Medianer Zeitpunkt zur Zöliakie-Diagnose: 1,5 Jahre; 40 % wurden im ersten Jahr diagnostiziert. Inzidenzrate im ersten Jahr: 1,35 pro 100 Personenjahre (95%-CI 0,92–1,99), danach Rückgang. Jüngeres Alter bei T1D-Diagnose war mit progressiv niedrigerem Zöliakie-Risiko über längere Follow-up assoziiert (33 % Risikoreduktion pro Lebensjahr Altersunterschied bei 5-Jahr-Follow-up). Andere Baseline-Faktoren (DKA, BMI z-Score, Größe z-Score) nicht signifikant.</w:t>
      </w:r>
    </w:p>
    <w:p>
      <w:r>
        <w:rPr>
          <w:b/>
          <w:sz w:val="19"/>
        </w:rPr>
        <w:t xml:space="preserve">Übertragbarkeit: </w:t>
      </w:r>
      <w:r>
        <w:rPr>
          <w:sz w:val="19"/>
        </w:rPr>
        <w:t>Kuwait, aber Assoziationen biologisch universal; Screening-Empfehlung für deutsche Typ-1-Diabetes-Register bei Erstdiagnose sinnvoll</w:t>
      </w:r>
    </w:p>
    <w:p>
      <w:r>
        <w:rPr>
          <w:color w:val="5A7D3A"/>
          <w:sz w:val="18"/>
        </w:rPr>
        <w:t>https://pubmed.ncbi.nlm.nih.gov/42949632/</w:t>
      </w:r>
    </w:p>
    <w:p>
      <w:pPr>
        <w:pStyle w:val="Heading2"/>
      </w:pPr>
      <w:r>
        <w:t>Acmopatide senkt HbA1c und Körpergewicht bei Typ-1-Diabetes mit Übergewicht</w:t>
      </w:r>
    </w:p>
    <w:p>
      <w:r>
        <w:rPr>
          <w:i/>
          <w:color w:val="666666"/>
          <w:sz w:val="18"/>
        </w:rPr>
        <w:t>Klein KR et al.  ·  Diabetes Care  ·  28.10.2026  ·  PMID 42949535</w:t>
      </w:r>
    </w:p>
    <w:p>
      <w:r>
        <w:t>Phase-2-RCT mit 111 Personen mit Typ-1-Diabetes und BMI ≥27 kg/m², randomisiert zu Acmopatide (1,8 / 4,1 / 6,6 mg täglich) oder Placebo über 16 Wochen.</w:t>
      </w:r>
    </w:p>
    <w:p>
      <w:r>
        <w:rPr>
          <w:b/>
        </w:rPr>
        <w:t xml:space="preserve">Ergebnis: </w:t>
      </w:r>
      <w:r>
        <w:t>HbA1c sank mit Acmopatide 4,1 mg um 0,4–0,6 % vs. 0,3 % Placebo (nominell signifikant für 4,1 mg: −0,3 % [p=0,020]). 55,6 % erreichten HbA1c &lt;7,0 % unter 4,1 mg vs. 33,3 % Placebo. Körpergewicht reduzierte sich um 3,3–6,7 % vs. +0,3 % Placebo (alle p&lt;0,01). Insulinbedarf sank um 3,4–14,9 %. Keine diabetische Ketoazidose oder schwere Hypoglykämien. Hauptnebenwirkungen gastrointestinal.</w:t>
      </w:r>
    </w:p>
    <w:p>
      <w:r>
        <w:rPr>
          <w:b/>
          <w:sz w:val="19"/>
        </w:rPr>
        <w:t xml:space="preserve">Übertragbarkeit: </w:t>
      </w:r>
      <w:r>
        <w:rPr>
          <w:sz w:val="19"/>
        </w:rPr>
        <w:t>USA-Studie, Sicherheitsbefund übertragbar; GLP-1/GIP-Agonisten in Typ-1-Diabetes sind außerhalb spezialisierter Zentren in Deutschland noch nicht im DMP-Katalog</w:t>
      </w:r>
    </w:p>
    <w:p>
      <w:r>
        <w:rPr>
          <w:color w:val="5A7D3A"/>
          <w:sz w:val="18"/>
        </w:rPr>
        <w:t>https://pubmed.ncbi.nlm.nih.gov/42949535/</w:t>
      </w:r>
    </w:p>
    <w:p>
      <w:pPr>
        <w:pStyle w:val="Heading2"/>
      </w:pPr>
      <w:r>
        <w:t>CGM-gesteuertes Ramadan-Fasten verbessert Glukosekontrolle bei Typ-2-Diabetes ohne Hypoglykämie-Anstieg</w:t>
      </w:r>
    </w:p>
    <w:p>
      <w:r>
        <w:rPr>
          <w:i/>
          <w:color w:val="666666"/>
          <w:sz w:val="18"/>
        </w:rPr>
        <w:t>Al Hayek A et al.  ·  J Diabetes Sci Technol  ·  28.10.2026  ·  PMID 42949159</w:t>
      </w:r>
    </w:p>
    <w:p>
      <w:r>
        <w:t>Ambispektive Kohortenstudie mit 110 Erwachsenen mit Typ-2-Diabetes in nichtintensiver Therapie, die während Ramadan kontinuierliche Glukosemessung (CGM) nutzten; Vergleich vor, während und nach dem Fasten.</w:t>
      </w:r>
    </w:p>
    <w:p>
      <w:r>
        <w:rPr>
          <w:b/>
        </w:rPr>
        <w:t xml:space="preserve">Ergebnis: </w:t>
      </w:r>
      <w:r>
        <w:t>Während Ramadan vs. davor: Time in Range (70–180 mg/dL) stieg von 60,8 % auf 65,0 % (p&lt;0,001), medianer Sensor-Glukose sank von 187 auf 175 mg/dL (p&lt;0,001). Glukosevariabilität besserte sich (36,5 % vs. 32,0 %, p&lt;0,001). Schwere Hypoglykämien (Zeit &lt;54 mg/dL) unverändert (p=0,358), leichte Hypoglykämien stiegen moderat. TyG-Index sank (9,65 vs. 9,55, p=0,003). Selbstmanagement-Scores verbesserten sich (27,0 → 29,0, p&lt;0,001). Keine Hospitalisierungen.</w:t>
      </w:r>
    </w:p>
    <w:p>
      <w:r>
        <w:rPr>
          <w:b/>
          <w:sz w:val="19"/>
        </w:rPr>
        <w:t xml:space="preserve">Übertragbarkeit: </w:t>
      </w:r>
      <w:r>
        <w:rPr>
          <w:sz w:val="19"/>
        </w:rPr>
        <w:t>Saudi-Arabien; Versorgungsmodell mit strukturiertem CGM-Support übertragbar auf deutsche Kliniken mit religiöser Patientenpopulation</w:t>
      </w:r>
    </w:p>
    <w:p>
      <w:r>
        <w:rPr>
          <w:color w:val="5A7D3A"/>
          <w:sz w:val="18"/>
        </w:rPr>
        <w:t>https://pubmed.ncbi.nlm.nih.gov/42949159/</w:t>
      </w:r>
    </w:p>
    <w:p>
      <w:pPr>
        <w:pStyle w:val="Heading2"/>
      </w:pPr>
      <w:r>
        <w:t>Übergang zur Mutterschaft bei Frauen mit Typ-2-Diabetes: Phasenabhängige Bedürfnisse vor und nach der Geburt</w:t>
      </w:r>
    </w:p>
    <w:p>
      <w:r>
        <w:rPr>
          <w:i/>
          <w:color w:val="666666"/>
          <w:sz w:val="18"/>
        </w:rPr>
        <w:t>Lorenzen LE et al.  ·  Diabet Med  ·  27.10.2026  ·  PMID 42944733</w:t>
      </w:r>
    </w:p>
    <w:p>
      <w:r>
        <w:t>Qualitative Längsschnittstudie mit 13 Frauen mit Typ-2-Diabetes, die in der Frühschwangerschaft, Spätschwangerschaft und 2–4 Monate postpartal befragt wurden, um ihre Erfahrungen während dieser Transition zu erfassen.</w:t>
      </w:r>
    </w:p>
    <w:p>
      <w:r>
        <w:rPr>
          <w:b/>
        </w:rPr>
        <w:t xml:space="preserve">Ergebnis: </w:t>
      </w:r>
      <w:r>
        <w:t>Frauen durchliefen drei Phasen mit unterschiedlichen Belastungen: Frühschwangerschaft geprägt von Überwältigung und intensiviertem Diabetes-Management, Spätschwangerschaft mit schrittlicher Anpassung und Fokusverschiebung auf den Fetus, Postpartal durch Reprioritisierung mit Diabetes im Hintergrund und reduzierten Unterstützungsstrukturen. Kontinuierliche spezialisierte postpartale Betreuung fehlt regelmäßig.</w:t>
      </w:r>
    </w:p>
    <w:p>
      <w:r>
        <w:rPr>
          <w:b/>
          <w:sz w:val="19"/>
        </w:rPr>
        <w:t xml:space="preserve">Übertragbarkeit: </w:t>
      </w:r>
      <w:r>
        <w:rPr>
          <w:sz w:val="19"/>
        </w:rPr>
        <w:t>Dänemark, Versorgungsforschung im Gesundheitssystem ähnlich Deutschland mit strukturierten DMP-Programmen</w:t>
      </w:r>
    </w:p>
    <w:p>
      <w:r>
        <w:rPr>
          <w:color w:val="5A7D3A"/>
          <w:sz w:val="18"/>
        </w:rPr>
        <w:t>https://pubmed.ncbi.nlm.nih.gov/42944733/</w:t>
      </w:r>
    </w:p>
    <w:p>
      <w:pPr>
        <w:pStyle w:val="Heading2"/>
      </w:pPr>
      <w:r>
        <w:t>Klinische Audits dokumentieren steigende Diabeteskomplikationen im Akutbereich – Surveillance-Lücke sichtbar gemacht</w:t>
      </w:r>
    </w:p>
    <w:p>
      <w:r>
        <w:rPr>
          <w:i/>
          <w:color w:val="666666"/>
          <w:sz w:val="18"/>
        </w:rPr>
        <w:t>El Hadidi S et al.  ·  Diabet Med  ·  27.10.2026  ·  PMID 42944644</w:t>
      </w:r>
    </w:p>
    <w:p>
      <w:r>
        <w:t>Strukturierte narrative Übersichtsarbeit zur Nutzung nationaler klinischer Audits in Irland (2021–2025) als verteilte Surveillance-Infrastruktur für Diabetes; Analyse von 14 Audit-Berichten mit Diabetesbezug.</w:t>
      </w:r>
    </w:p>
    <w:p>
      <w:r>
        <w:rPr>
          <w:b/>
        </w:rPr>
        <w:t xml:space="preserve">Ergebnis: </w:t>
      </w:r>
      <w:r>
        <w:t>2022 Pädiatrie-Machbarkeitsstudie: 3332 Kinder/Jugendliche mit Typ-1-Diabetes in 19 Zentren identifiziert, große Unterschiede in Personalausstattung, HbA1c-Messung und Versorgungspfaden. Pädiatrische Intensivmedizin: 232 DKA-Aufnahmen (2014–2023). STEMI-Audits: Diabetes in 430/1615 Fällen (27 % 2024 vs. 18 % 2021), simultane Abnahme gelungener Reperfusion von 67 % (2017) auf 58 % (2024). Stroke, ICU, Hüftfraktur, Mortalitäts-Audits zeigten keine stratifizierten Diabetes-Outcomes.</w:t>
      </w:r>
    </w:p>
    <w:p>
      <w:r>
        <w:rPr>
          <w:b/>
          <w:sz w:val="19"/>
        </w:rPr>
        <w:t xml:space="preserve">Übertragbarkeit: </w:t>
      </w:r>
      <w:r>
        <w:rPr>
          <w:sz w:val="19"/>
        </w:rPr>
        <w:t>Irland, ähnliches Gesundheitssystem; Modell für Deutschland mit Deutschem Diabetes-Surveillance-System (DDS) adaptierbar</w:t>
      </w:r>
    </w:p>
    <w:p>
      <w:r>
        <w:rPr>
          <w:color w:val="5A7D3A"/>
          <w:sz w:val="18"/>
        </w:rPr>
        <w:t>https://pubmed.ncbi.nlm.nih.gov/42944644/</w:t>
      </w:r>
    </w:p>
    <w:p>
      <w:pPr>
        <w:pStyle w:val="Heading2"/>
      </w:pPr>
      <w:r>
        <w:t>CagriSema (Cagrilintid + Semaglutid) zeigt zusätzliche Gewichtsreduktion über Semaglutid allein hinaus</w:t>
      </w:r>
    </w:p>
    <w:p>
      <w:r>
        <w:rPr>
          <w:i/>
          <w:color w:val="666666"/>
          <w:sz w:val="18"/>
        </w:rPr>
        <w:t>Kow CS et al.  ·  Diabetes Obes Metab  ·  27.10.2026  ·  PMID 42935221</w:t>
      </w:r>
    </w:p>
    <w:p>
      <w:r>
        <w:t>Systematischer Review und Bayesian-Metaanalyse von 6 RCTs mit 4554 Personen mit Typ-2-Diabetes, die CagriSema gegen Placebo oder Semaglutid verglichen.</w:t>
      </w:r>
    </w:p>
    <w:p>
      <w:r>
        <w:rPr>
          <w:b/>
        </w:rPr>
        <w:t xml:space="preserve">Ergebnis: </w:t>
      </w:r>
      <w:r>
        <w:t>CagriSema 2,4 mg vs. Placebo: HbA1c-Senkung −1,87 Prozentpunkte (95%-CrI −2,08 bis −1,62), Körpergewicht −12,69 % (−13,78 bis −11,61). Vs. Semaglutid 2,4 mg: zusätzliche HbA1c-Reduktion −0,21 Prozentpunkte (unsicher: −0,62 bis 0,11), aber signifikante Zusatzgewichtsreduktion −5,84 % (−10,08 bis −2,15). Gastrointestinale Nebenwirkungen vs. Placebo: RR 2,27 (1,81–3,00); Abbruch wegen Nebenwirkungen RR 3,16 (1,50–6,87).</w:t>
      </w:r>
    </w:p>
    <w:p>
      <w:r>
        <w:rPr>
          <w:b/>
          <w:sz w:val="19"/>
        </w:rPr>
        <w:t xml:space="preserve">Übertragbarkeit: </w:t>
      </w:r>
      <w:r>
        <w:rPr>
          <w:sz w:val="19"/>
        </w:rPr>
        <w:t>Internationale Studien; Dual-Agonisten in Deutschland nicht im DMP außer speziellen Formenauf Einzelfallbasis</w:t>
      </w:r>
    </w:p>
    <w:p>
      <w:r>
        <w:rPr>
          <w:color w:val="5A7D3A"/>
          <w:sz w:val="18"/>
        </w:rPr>
        <w:t>https://pubmed.ncbi.nlm.nih.gov/42935221/</w:t>
      </w:r>
    </w:p>
    <w:p>
      <w:pPr>
        <w:pStyle w:val="Heading1"/>
      </w:pPr>
      <w:r>
        <w:t>Aufgenommen am 28.10.2026</w:t>
      </w:r>
    </w:p>
    <w:p>
      <w:pPr>
        <w:pStyle w:val="Heading2"/>
      </w:pPr>
      <w:r>
        <w:t>Höhere körperliche Aktivität senkt diabetische Retinopathie um 40–59 %; kausale Evidenz schwach</w:t>
      </w:r>
    </w:p>
    <w:p>
      <w:r>
        <w:rPr>
          <w:i/>
          <w:color w:val="666666"/>
          <w:sz w:val="18"/>
        </w:rPr>
        <w:t>Zekaj D et al.  ·  Diabetes Res Clin Pract  ·  27.10.2026  ·  PMID 42946061</w:t>
      </w:r>
    </w:p>
    <w:p>
      <w:r>
        <w:t>Systematische Übersicht und Metaanalyse von 32 Beobachtungsstudien (n=51.516, 18 Länder, Studienende März 2026) zur Assoziation körperlicher Aktivität mit diabetischer Retinopathie bei Typ-1- oder Typ-2-Diabetes.</w:t>
      </w:r>
    </w:p>
    <w:p>
      <w:r>
        <w:rPr>
          <w:b/>
        </w:rPr>
        <w:t xml:space="preserve">Ergebnis: </w:t>
      </w:r>
      <w:r>
        <w:t>Höhere körperliche Aktivität mit niedrigerem Auftreten DR assoziiert: 12 Querschnittstudien OR 0,59 (95%-KI 0,47–0,74); 7 Kohortenstudien OR 0,81 (0,71–0,93); 2 Fall-Kontroll-Studien OR 0,40 (0,22–0,72). Dosis-Wirkungs-Analyse nicht signifikant. Evidenzsicherheit niedrig bis sehr niedrig.</w:t>
      </w:r>
    </w:p>
    <w:p>
      <w:r>
        <w:rPr>
          <w:b/>
          <w:sz w:val="19"/>
        </w:rPr>
        <w:t xml:space="preserve">Übertragbarkeit: </w:t>
      </w:r>
      <w:r>
        <w:rPr>
          <w:sz w:val="19"/>
        </w:rPr>
        <w:t>Global, mehrere europäische Studien; Bewegung ist Kernintervention in DMP und Beratung.</w:t>
      </w:r>
    </w:p>
    <w:p>
      <w:r>
        <w:rPr>
          <w:color w:val="5A7D3A"/>
          <w:sz w:val="18"/>
        </w:rPr>
        <w:t>https://pubmed.ncbi.nlm.nih.gov/42946061/</w:t>
      </w:r>
    </w:p>
    <w:p>
      <w:pPr>
        <w:pStyle w:val="Heading2"/>
      </w:pPr>
      <w:r>
        <w:t>Semaglutid senkt Mortalität bei Dialysepatienten mit Diabetes stärker als Dulaglutid</w:t>
      </w:r>
    </w:p>
    <w:p>
      <w:r>
        <w:rPr>
          <w:i/>
          <w:color w:val="666666"/>
          <w:sz w:val="18"/>
        </w:rPr>
        <w:t>Le D et al.  ·  Diabetes Care  ·  27.10.2026  ·  PMID 42937520</w:t>
      </w:r>
    </w:p>
    <w:p>
      <w:r>
        <w:t>Vergleichsstudie in 3.200 US-Dialysepatienten mit Typ-2-Diabetes (Median-Follow-up 1,1 Jahre), ob Semaglutid versus Dulaglutid/Liraglutid Tod und Hospitalisierung reduziert.</w:t>
      </w:r>
    </w:p>
    <w:p>
      <w:r>
        <w:rPr>
          <w:b/>
        </w:rPr>
        <w:t xml:space="preserve">Ergebnis: </w:t>
      </w:r>
      <w:r>
        <w:t>Semaglutid vs. Dulaglutid/Liraglutid: Sterblichkeit adjustierte SHR 0,82 (95%-KI 0,70–0,97, 1-Jahres-Kumularisiko 11 % vs. 13 %); Hospitalisierung SHR 0,91 (0,83–0,99, 57 % vs. 62 %). Körpergewichtsverlust -4,8 % vs. -3,4 % (p&lt;0,001). Direkter Vergleich Semaglutid vs. Dulaglutid bestätigt Vorteil.</w:t>
      </w:r>
    </w:p>
    <w:p>
      <w:r>
        <w:rPr>
          <w:b/>
          <w:sz w:val="19"/>
        </w:rPr>
        <w:t xml:space="preserve">Übertragbarkeit: </w:t>
      </w:r>
      <w:r>
        <w:rPr>
          <w:sz w:val="19"/>
        </w:rPr>
        <w:t>US-Kohorte, aber kliner Endpunkt (Mortalität) ist systemübergreifend relevant.</w:t>
      </w:r>
    </w:p>
    <w:p>
      <w:r>
        <w:rPr>
          <w:color w:val="5A7D3A"/>
          <w:sz w:val="18"/>
        </w:rPr>
        <w:t>https://pubmed.ncbi.nlm.nih.gov/42937520/</w:t>
      </w:r>
    </w:p>
    <w:p>
      <w:pPr>
        <w:pStyle w:val="Heading2"/>
      </w:pPr>
      <w:r>
        <w:t>SGLT2-Inhibitoren in älteren Erwachsenen (≥75 Jahre) sicher, reduzieren AKI und Hospitalisierung</w:t>
      </w:r>
    </w:p>
    <w:p>
      <w:r>
        <w:rPr>
          <w:i/>
          <w:color w:val="666666"/>
          <w:sz w:val="18"/>
        </w:rPr>
        <w:t>Harbi H et al.  ·  Diabetes Care  ·  27.10.2026  ·  PMID 42937517</w:t>
      </w:r>
    </w:p>
    <w:p>
      <w:r>
        <w:t>Kanadische Kohortenstudie mit 4.997 SGLT2i- und 1.289 DPP-4i-Initiierern (≥75 Jahre, Typ-2-Diabetes) 2021–2023; Sicherheit und Wirksamkeit versus DPP-4i als Vergleicher.</w:t>
      </w:r>
    </w:p>
    <w:p>
      <w:r>
        <w:rPr>
          <w:b/>
        </w:rPr>
        <w:t xml:space="preserve">Ergebnis: </w:t>
      </w:r>
      <w:r>
        <w:t>SGLT2i vs. DPP-4i: Akutes Nierenschaden HR 0,76 (95%-KI 0,60–0,95), Gesamthospitalisierung HR 0,87 (0,77–0,98). Keine erhöhten Risiken für Infektionen, DKA, Stürze, Frakturen; CIs z.T. breit (Nutzen/Schaden möglich).</w:t>
      </w:r>
    </w:p>
    <w:p>
      <w:r>
        <w:rPr>
          <w:b/>
          <w:sz w:val="19"/>
        </w:rPr>
        <w:t xml:space="preserve">Übertragbarkeit: </w:t>
      </w:r>
      <w:r>
        <w:rPr>
          <w:sz w:val="19"/>
        </w:rPr>
        <w:t>Kanada, vergleichbares Versicherungssystem; ältere Erwachsene sind deutsches Kernpublikum.</w:t>
      </w:r>
    </w:p>
    <w:p>
      <w:r>
        <w:rPr>
          <w:color w:val="5A7D3A"/>
          <w:sz w:val="18"/>
        </w:rPr>
        <w:t>https://pubmed.ncbi.nlm.nih.gov/42937517/</w:t>
      </w:r>
    </w:p>
    <w:p>
      <w:pPr>
        <w:pStyle w:val="Heading2"/>
      </w:pPr>
      <w:r>
        <w:t>SGLT2-Hemmstoff bei ACS-Entlassung: 50 % weniger kardiale Ereignisse als Verzögerung</w:t>
      </w:r>
    </w:p>
    <w:p>
      <w:r>
        <w:rPr>
          <w:i/>
          <w:color w:val="666666"/>
          <w:sz w:val="18"/>
        </w:rPr>
        <w:t>Shah MU et al.  ·  Diabet Med  ·  27.10.2026  ·  PMID 42936919</w:t>
      </w:r>
    </w:p>
    <w:p>
      <w:r>
        <w:t>UK-Kohortenstudie (n=970, Median-Alter 70 Jahre, 73,9 % männlich) mit Typ-2-Diabetes und akutem Koronarsyndrom; SGLT2i bei Entlassung vs. später oder nie initiiert, primärer Endpunkt schwerwiegende kardiovaskuläre Ereignisse.</w:t>
      </w:r>
    </w:p>
    <w:p>
      <w:r>
        <w:rPr>
          <w:b/>
        </w:rPr>
        <w:t xml:space="preserve">Ergebnis: </w:t>
      </w:r>
      <w:r>
        <w:t>Entlassungsgruppe (n Baseline unklar): Vergleich Entlassung vs. post-Entlassung adjustierte SHR 1,50 (95%-KI 1,13–1,99, p=0,005); vs. kein SGLT2i SHR 1,65 (1,24–2,20, p&lt;0,001), Median Follow-up 29,9 Monate. Frühe Initiierung senkt primären Endpunkt signifikant.</w:t>
      </w:r>
    </w:p>
    <w:p>
      <w:r>
        <w:rPr>
          <w:b/>
          <w:sz w:val="19"/>
        </w:rPr>
        <w:t xml:space="preserve">Übertragbarkeit: </w:t>
      </w:r>
      <w:r>
        <w:rPr>
          <w:sz w:val="19"/>
        </w:rPr>
        <w:t>UK-Gesundheitssystem, übertragbar auf Deutschland; harter kardiovaskulärer Endpunkt.</w:t>
      </w:r>
    </w:p>
    <w:p>
      <w:r>
        <w:rPr>
          <w:color w:val="5A7D3A"/>
          <w:sz w:val="18"/>
        </w:rPr>
        <w:t>https://pubmed.ncbi.nlm.nih.gov/42936919/</w:t>
      </w:r>
    </w:p>
    <w:p>
      <w:pPr>
        <w:pStyle w:val="Heading2"/>
      </w:pPr>
      <w:r>
        <w:t>Tschechische Reihenscreening-Studie: 0,39 % multiple Autoantikörper bei Kindern ohne Familiengeschichte</w:t>
      </w:r>
    </w:p>
    <w:p>
      <w:r>
        <w:rPr>
          <w:i/>
          <w:color w:val="666666"/>
          <w:sz w:val="18"/>
        </w:rPr>
        <w:t>Berka B et al.  ·  Diabetes Obes Metab  ·  27.10.2026  ·  PMID 42935169</w:t>
      </w:r>
    </w:p>
    <w:p>
      <w:r>
        <w:t>Die Betty-Studie screenete 19.044 Kinder (1 % der tschechischen Bevölkerung) auf Insel-Autoantikörper mittels zweistufigem Verfahren an 270 Zentren, um die Machbarkeit eines bevölkerungsweiten T1D-Screenings zu prüfen.</w:t>
      </w:r>
    </w:p>
    <w:p>
      <w:r>
        <w:rPr>
          <w:b/>
        </w:rPr>
        <w:t xml:space="preserve">Ergebnis: </w:t>
      </w:r>
      <w:r>
        <w:t>Prävalenz multipler Autoantikörper 0,39 % in der Allgemeinbevölkerung (95%-KI 0,30–0,51 %) und 2,8 % (2,1–3,7 %) bei Verwandten ersten Grades. Von 102 Kindern mit diagnostizierter Früh-T1D: 77 Stadium 1 (93 %), 4 Stadium 2 (4,8 %), 2 Stadium 3 (2,4 %); 7 weitere manifeste Diabetes vor Stagingabschluss. Alle Familien stimmten Langzeit-Follow-up zu.</w:t>
      </w:r>
    </w:p>
    <w:p>
      <w:r>
        <w:rPr>
          <w:b/>
          <w:sz w:val="19"/>
        </w:rPr>
        <w:t xml:space="preserve">Übertragbarkeit: </w:t>
      </w:r>
      <w:r>
        <w:rPr>
          <w:sz w:val="19"/>
        </w:rPr>
        <w:t>Europäische Studie, vergleichbares Gesundheitssystem; zentrale Frage für DMPs.</w:t>
      </w:r>
    </w:p>
    <w:p>
      <w:r>
        <w:rPr>
          <w:color w:val="5A7D3A"/>
          <w:sz w:val="18"/>
        </w:rPr>
        <w:t>https://pubmed.ncbi.nlm.nih.gov/42935169/</w:t>
      </w:r>
    </w:p>
    <w:p>
      <w:pPr>
        <w:pStyle w:val="Heading2"/>
      </w:pPr>
      <w:r>
        <w:t>Genetischer Risiko-Score T1D-GRS2 diskriminiert T1D von T2D/monogenetischem Diabetes mit AUC 0,89</w:t>
      </w:r>
    </w:p>
    <w:p>
      <w:r>
        <w:rPr>
          <w:i/>
          <w:color w:val="666666"/>
          <w:sz w:val="18"/>
        </w:rPr>
        <w:t>Saso-Jiménez L et al.  ·  Eur J Endocrinol  ·  05.10.2026  ·  PMID 42876350</w:t>
      </w:r>
    </w:p>
    <w:p>
      <w:r>
        <w:t>Spanische Kandidaten-Studienkohorte (n=2.215, davon 816 T1D, 469 T2D, 457 monogenetisch, 473 Kontrollen) mit Genotypisierung; Bewertung T1D-GRS2 versus HLA-DRB1 und europäische Scores für Differenzialdiagnose und Risikostratifikation.</w:t>
      </w:r>
    </w:p>
    <w:p>
      <w:r>
        <w:rPr>
          <w:b/>
        </w:rPr>
        <w:t xml:space="preserve">Ergebnis: </w:t>
      </w:r>
      <w:r>
        <w:t>T1D-GRS2 vs. Kontrollen: AUC-ROC 0,888 (95%-KI 0,867–0,908); vs. T2D/MD AUC 0,886 (0,865–0,907). P50-Grenzwert (pädiatrische Kohorte): Sensitivität 0,80 (0,76–0,84), Spezifität 0,81 (0,77–0,84). P90-Schwelle: OR 26-fach (T1D vs. Kontrollen), 18-/17-fach (vs. T2D/MD). Höherer GRS mit jüngerem Alter assoziiert.</w:t>
      </w:r>
    </w:p>
    <w:p>
      <w:r>
        <w:rPr>
          <w:b/>
          <w:sz w:val="19"/>
        </w:rPr>
        <w:t xml:space="preserve">Übertragbarkeit: </w:t>
      </w:r>
      <w:r>
        <w:rPr>
          <w:sz w:val="19"/>
        </w:rPr>
        <w:t>Europäische Studie, genetische Basis für Diagnostik transferierbar auf Deutschland.</w:t>
      </w:r>
    </w:p>
    <w:p>
      <w:r>
        <w:rPr>
          <w:color w:val="5A7D3A"/>
          <w:sz w:val="18"/>
        </w:rPr>
        <w:t>https://pubmed.ncbi.nlm.nih.gov/42876350/</w:t>
      </w:r>
    </w:p>
    <w:p>
      <w:pPr>
        <w:pStyle w:val="Heading1"/>
      </w:pPr>
      <w:r>
        <w:t>Aufgenommen am 27.10.2026</w:t>
      </w:r>
    </w:p>
    <w:p>
      <w:pPr>
        <w:pStyle w:val="Heading2"/>
      </w:pPr>
      <w:r>
        <w:t>Hohe HbA1c-Werte erhöhen Sterblichkeit bei Mukoviszidose-Diabetes deutlich</w:t>
      </w:r>
    </w:p>
    <w:p>
      <w:r>
        <w:rPr>
          <w:i/>
          <w:color w:val="666666"/>
          <w:sz w:val="18"/>
        </w:rPr>
        <w:t>Adler AI et al.  ·  Diabetes Care  ·  26.10.2026  ·  PMID 42930457</w:t>
      </w:r>
    </w:p>
    <w:p>
      <w:r>
        <w:t>Kohortenstudie mit UK-Registerdaten zu 4.477 Patienten mit Mukoviszidose-assoziiertem Diabetes über 31.311 Personenjahre, die Zusammenhang zwischen langfristiger Glykämie und Mortalität untersuchte.</w:t>
      </w:r>
    </w:p>
    <w:p>
      <w:r>
        <w:rPr>
          <w:b/>
        </w:rPr>
        <w:t xml:space="preserve">Ergebnis: </w:t>
      </w:r>
      <w:r>
        <w:t>Mortalität stieg mit HbA1c progressiv: Adjustierte Hazard Ratios betrugen 1,41 (95%-KI 1,15–1,73) für HbA1c &gt;42–53 mmol/mol, 1,66 (1,33–2,07) für &gt;53–69 mmol/mol und 1,93 (1,53–2,43) für &gt;69 mmol/mol (verglichen mit ≤42 mmol/mol). Dies zeigt einen starken klinischen Endpunkt (Sterblichkeit), nicht nur Laborwertveränderung.</w:t>
      </w:r>
    </w:p>
    <w:p>
      <w:r>
        <w:rPr>
          <w:b/>
          <w:sz w:val="19"/>
        </w:rPr>
        <w:t xml:space="preserve">Übertragbarkeit: </w:t>
      </w:r>
      <w:r>
        <w:rPr>
          <w:sz w:val="19"/>
        </w:rPr>
        <w:t>UK-Gesundheitssystem mit vergleichbarem Register; Ergebnis übertragbar auf europäische Versorgung diabetischer Komplikationen.</w:t>
      </w:r>
    </w:p>
    <w:p>
      <w:r>
        <w:rPr>
          <w:color w:val="5A7D3A"/>
          <w:sz w:val="18"/>
        </w:rPr>
        <w:t>https://pubmed.ncbi.nlm.nih.gov/42930457/</w:t>
      </w:r>
    </w:p>
    <w:p>
      <w:pPr>
        <w:pStyle w:val="Heading2"/>
      </w:pPr>
      <w:r>
        <w:t>Web-basierte Diabetesschulung im NHS senkt Blutzucker, aber Retention bleibt schwach</w:t>
      </w:r>
    </w:p>
    <w:p>
      <w:r>
        <w:rPr>
          <w:i/>
          <w:color w:val="666666"/>
          <w:sz w:val="18"/>
        </w:rPr>
        <w:t>Cotterill S et al.  ·  Diabet Med  ·  25.10.2026  ·  PMID 42928587</w:t>
      </w:r>
    </w:p>
    <w:p>
      <w:r>
        <w:t>Evaluationsmix aus Interviews, Inhaltsanalyse und Kosten-Nutzen-Analyse des NHS-Programms 'Healthy Living' zur digitalen Typ-2-Diabetes-Selbstmanagement in England.</w:t>
      </w:r>
    </w:p>
    <w:p>
      <w:r>
        <w:rPr>
          <w:b/>
        </w:rPr>
        <w:t xml:space="preserve">Ergebnis: </w:t>
      </w:r>
      <w:r>
        <w:t>Bei Registrierten sank HbA1c um 1 mmol/mol (95%-KI: −2, −1; −0,1% [95%-KI: −0,2%, −0,1%]) gegenüber Standardbehandlung; Programm war kosteneffektiv. Schwächen: große Unterschiede in Aufnahme und Bindung, viele Nutzer zeitlich limitiert aktiv; bessere Ergebnisse bei intensiverem Programmgebrauch.</w:t>
      </w:r>
    </w:p>
    <w:p>
      <w:r>
        <w:rPr>
          <w:b/>
          <w:sz w:val="19"/>
        </w:rPr>
        <w:t xml:space="preserve">Übertragbarkeit: </w:t>
      </w:r>
      <w:r>
        <w:rPr>
          <w:sz w:val="19"/>
        </w:rPr>
        <w:t>Englische NHS-Daten; Versorgungsmodell und Barrieren (Retention, ethnische Disparitäten, Deprivation) direkt auf deutsches Diabetes-Management übertragbar.</w:t>
      </w:r>
    </w:p>
    <w:p>
      <w:r>
        <w:rPr>
          <w:color w:val="5A7D3A"/>
          <w:sz w:val="18"/>
        </w:rPr>
        <w:t>https://pubmed.ncbi.nlm.nih.gov/42928587/</w:t>
      </w:r>
    </w:p>
    <w:p>
      <w:pPr>
        <w:pStyle w:val="Heading2"/>
      </w:pPr>
      <w:r>
        <w:t>GLP-1-Agonisten erhöhen Depression, senken aber Substanzmissbrauch und Suizidalität</w:t>
      </w:r>
    </w:p>
    <w:p>
      <w:r>
        <w:rPr>
          <w:i/>
          <w:color w:val="666666"/>
          <w:sz w:val="18"/>
        </w:rPr>
        <w:t>Baik SH et al.  ·  Diabetes Obes Metab  ·  25.10.2026  ·  PMID 42928425</w:t>
      </w:r>
    </w:p>
    <w:p>
      <w:r>
        <w:t>Populationsbasierte Kohortenstudie von Medicare-Versicherten mit Typ-2-Diabetes: GLP-1-Agonisten vs. andere Antidiabetika; acht neuropsychiatrische Endpunkte über propensity-score-matched, multivariate Cox-Regression mit zeitvarianten Kovariaten.</w:t>
      </w:r>
    </w:p>
    <w:p>
      <w:r>
        <w:rPr>
          <w:b/>
        </w:rPr>
        <w:t xml:space="preserve">Ergebnis: </w:t>
      </w:r>
      <w:r>
        <w:t>GLP-1-RA assoziiert mit HR für Depressionen 1,11 (3,0 Überschuss-Events/1.000 Personenjahre) und aggregierte psychiatrische Störungen HR 1,04 (1,03–1,06). Aber HR für Substanzmissbrauch 0,84 (4,1 weniger Events/1.000 PJ), Demenz 0,87 (2,8 weniger) und Suizid/Selbstverletzung 0,81 (0,4 weniger). Effekte variierten nach Behandlungsmuster: Monotherapie zeigte erhöhtes Risiko.</w:t>
      </w:r>
    </w:p>
    <w:p>
      <w:r>
        <w:rPr>
          <w:b/>
          <w:sz w:val="19"/>
        </w:rPr>
        <w:t xml:space="preserve">Übertragbarkeit: </w:t>
      </w:r>
      <w:r>
        <w:rPr>
          <w:sz w:val="19"/>
        </w:rPr>
        <w:t>USA-Versichertendaten; Sicherheitssignal (Depression) nicht US-spezifisch, aber Beobachtungsdaten – Generalisierbarkeit auf deutsche Nutzung limitiert; externe Validierung erforderlich.</w:t>
      </w:r>
    </w:p>
    <w:p>
      <w:r>
        <w:rPr>
          <w:color w:val="5A7D3A"/>
          <w:sz w:val="18"/>
        </w:rPr>
        <w:t>https://pubmed.ncbi.nlm.nih.gov/42928425/</w:t>
      </w:r>
    </w:p>
    <w:p>
      <w:pPr>
        <w:pStyle w:val="Heading2"/>
      </w:pPr>
      <w:r>
        <w:t>Semaglutid senkt Asthma-, Psoriasis- und Analgetika-Verordnungen, hebt aber Anxiolytika</w:t>
      </w:r>
    </w:p>
    <w:p>
      <w:r>
        <w:rPr>
          <w:i/>
          <w:color w:val="666666"/>
          <w:sz w:val="18"/>
        </w:rPr>
        <w:t>Roland N et al.  ·  Diabetes Obes Metab  ·  25.10.2026  ·  PMID 42928048</w:t>
      </w:r>
    </w:p>
    <w:p>
      <w:r>
        <w:t>Dänische Registeranalyse: Unterbrochene Zeitreihe mit 189.392 Personen, die Semaglutid zur Gewichtsreduktion begannen (2022–2024); monatliche Verschreibungsvolumina in 10 Medikamentenklassen in 24 Monaten vorher und 12 Monaten nachher.</w:t>
      </w:r>
    </w:p>
    <w:p>
      <w:r>
        <w:rPr>
          <w:b/>
        </w:rPr>
        <w:t xml:space="preserve">Ergebnis: </w:t>
      </w:r>
      <w:r>
        <w:t>Bei 12 Monaten Semaglutid-Therapie Rate Ratios für Verordnungen vs. vorhergesagter Trend: Antiasthmatika 0,82 (95%-KI 0,79–0,86), topische Kortikosteroide 0,91 (0,87–0,96), Analgetika 0,93 (0,90–0,96), Antidepressiva 0,93 (0,89–0,98). Aber Anxiolytika stiegen auf 1,16 (1,08–1,24) und blieben erhöht nach 2 Jahren.</w:t>
      </w:r>
    </w:p>
    <w:p>
      <w:r>
        <w:rPr>
          <w:b/>
          <w:sz w:val="19"/>
        </w:rPr>
        <w:t xml:space="preserve">Übertragbarkeit: </w:t>
      </w:r>
      <w:r>
        <w:rPr>
          <w:sz w:val="19"/>
        </w:rPr>
        <w:t>Dänische nationale Daten, vergleichbares skandinavisches Gesundheitssystem; Befund zu Begleitmedikation und Gewichtseffekt übertragbar auf deutsches Versorgungsmuster.</w:t>
      </w:r>
    </w:p>
    <w:p>
      <w:r>
        <w:rPr>
          <w:color w:val="5A7D3A"/>
          <w:sz w:val="18"/>
        </w:rPr>
        <w:t>https://pubmed.ncbi.nlm.nih.gov/42928048/</w:t>
      </w:r>
    </w:p>
    <w:p>
      <w:pPr>
        <w:pStyle w:val="Heading2"/>
      </w:pPr>
      <w:r>
        <w:t>Rauchen aufzugeben senkt Diabetes-Risiko langfristig, kurzzeitig aber nicht</w:t>
      </w:r>
    </w:p>
    <w:p>
      <w:r>
        <w:rPr>
          <w:i/>
          <w:color w:val="666666"/>
          <w:sz w:val="18"/>
        </w:rPr>
        <w:t>Yamamoto S et al.  ·  Diabetes Obes Metab  ·  25.10.2026  ·  PMID 42928040</w:t>
      </w:r>
    </w:p>
    <w:p>
      <w:r>
        <w:t>Target-Trial-Emulation mit wiederholtem jährlichem Einschluss von japanischen Arbeitnehmern (2008–2022) ohne Diabetes; Inverse Wahrscheinlichkeitsgewichtung zur Adjustment von Confounding in 331.701 Teilnehmern aus 52.880 Individuen.</w:t>
      </w:r>
    </w:p>
    <w:p>
      <w:r>
        <w:rPr>
          <w:b/>
        </w:rPr>
        <w:t xml:space="preserve">Ergebnis: </w:t>
      </w:r>
      <w:r>
        <w:t>Risikoquotient für Diabetes bei Rauchstopp versus fortgesetztem Rauchen: 1,15 (95%-KI 1,07–1,24) nach 3 Jahren, aber 0,95 (0,85–1,06) nach 15 Jahren. Kurzzeitige Risikoerhöhung durch Gewichtszunahme löst sich auf; langfristig ist Rauchstopp metabolisch günstig.</w:t>
      </w:r>
    </w:p>
    <w:p>
      <w:r>
        <w:rPr>
          <w:b/>
          <w:sz w:val="19"/>
        </w:rPr>
        <w:t xml:space="preserve">Übertragbarkeit: </w:t>
      </w:r>
      <w:r>
        <w:rPr>
          <w:sz w:val="19"/>
        </w:rPr>
        <w:t>Japanische Betriebsdaten; Befund zur Langzeitprävention unabhängig vom Gesundheitssystem, relevant für Diabetes-Prävention und Patientenberatung weltweit.</w:t>
      </w:r>
    </w:p>
    <w:p>
      <w:r>
        <w:rPr>
          <w:color w:val="5A7D3A"/>
          <w:sz w:val="18"/>
        </w:rPr>
        <w:t>https://pubmed.ncbi.nlm.nih.gov/42928040/</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