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17.09.2026  |  6 Studien  |  diabetes.m-vf.de</w:t>
      </w:r>
    </w:p>
    <w:p>
      <w:pPr>
        <w:pStyle w:val="Heading1"/>
      </w:pPr>
      <w:r>
        <w:t>Aufgenommen am 17.09.2026</w:t>
      </w:r>
    </w:p>
    <w:p>
      <w:pPr>
        <w:pStyle w:val="Heading2"/>
      </w:pPr>
      <w:r>
        <w:t>CGM-Trajektorien bei Typ-1-Diabetes: Altersgruppen profitieren unterschiedlich</w:t>
      </w:r>
    </w:p>
    <w:p>
      <w:r>
        <w:rPr>
          <w:i/>
          <w:color w:val="666666"/>
          <w:sz w:val="18"/>
        </w:rPr>
        <w:t>Yoo JH et al.  ·  Diabetes Care  ·  16.09.2026  ·  PMID 42747916</w:t>
      </w:r>
    </w:p>
    <w:p>
      <w:r>
        <w:t>Dreiachähr-Kohortenstudie mit 1028 Personen und 3441 CGM-Profilen zur Analyse von Glukoseverlauf stratifiziert nach Alter, Nierenfunktion, Betazellfunktion und BMI.</w:t>
      </w:r>
    </w:p>
    <w:p>
      <w:r>
        <w:rPr>
          <w:b/>
        </w:rPr>
        <w:t xml:space="preserve">Ergebnis: </w:t>
      </w:r>
      <w:r>
        <w:t>Ältere Erwachsene zeigen Verbesserung der Time in Range (TIR) vergleichbar zu jüngeren (β=0,110, p=0,102) ohne Verschärfung von Hypoglykämien. Bei chronischer Nierenkrankheit signifikante TIR-Verbesserung (β=0,228, p=0,002). Schwere Betazelleninsuffizienz limitiert TIR-Gewinne (β=-0,119, p=0,025); substantielle Heterogenität innerhalb Subgruppen unterstützt individualisierte Ziele.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Südkorea; Konsequenz: Subgruppengerechte CGM-Ziele sind praktikabel und nötig</w:t>
      </w:r>
    </w:p>
    <w:p>
      <w:r>
        <w:rPr>
          <w:color w:val="5A7D3A"/>
          <w:sz w:val="18"/>
        </w:rPr>
        <w:t>https://pubmed.ncbi.nlm.nih.gov/42747916/</w:t>
      </w:r>
    </w:p>
    <w:p>
      <w:pPr>
        <w:pStyle w:val="Heading2"/>
      </w:pPr>
      <w:r>
        <w:t>Typ-1-Diabetes bei Erwachsenen: Leitlinie mit Gewicht auf neue Technologien</w:t>
      </w:r>
    </w:p>
    <w:p>
      <w:r>
        <w:rPr>
          <w:i/>
          <w:color w:val="666666"/>
          <w:sz w:val="18"/>
        </w:rPr>
        <w:t>Holt RIG et al.  ·  Diabetologia  ·  16.09.2026  ·  PMID 42747450</w:t>
      </w:r>
    </w:p>
    <w:p>
      <w:r>
        <w:t>Aktualisierte internationale Leitlinie von ADA und EASD zur Behandlung von Typ-1-Diabetes bei Erwachsenen mit Fokus auf Technologien, Screeningverfahren und Management von Adipositas sowie psychosozialer Belastung.</w:t>
      </w:r>
    </w:p>
    <w:p>
      <w:r>
        <w:rPr>
          <w:b/>
        </w:rPr>
        <w:t xml:space="preserve">Ergebnis: </w:t>
      </w:r>
      <w:r>
        <w:t>Die Leitlinie integriert kontinuierliche Glukosemessung (CGM) und automatisierte Insulingabesysteme als Standardtherapie, empfiehlt psychische Unterstützung und adressiert erstmals systematisch Langzeit-Komplikationsscreening sowie Prävention von Typ-1-Diabetes im Stadium 3.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ADA/EASD-Konsens, anwendbar auf deutsches Versorgungssystem mit Anpassung an DMP-Struktur</w:t>
      </w:r>
    </w:p>
    <w:p>
      <w:r>
        <w:rPr>
          <w:color w:val="5A7D3A"/>
          <w:sz w:val="18"/>
        </w:rPr>
        <w:t>https://pubmed.ncbi.nlm.nih.gov/42747450/</w:t>
      </w:r>
    </w:p>
    <w:p>
      <w:pPr>
        <w:pStyle w:val="Heading2"/>
      </w:pPr>
      <w:r>
        <w:t>Time in Range-Abnahme über 5 Jahre vorhersagt mikrovaskuläre Folgen bei Typ-1-Diabetes</w:t>
      </w:r>
    </w:p>
    <w:p>
      <w:r>
        <w:rPr>
          <w:i/>
          <w:color w:val="666666"/>
          <w:sz w:val="18"/>
        </w:rPr>
        <w:t>Sabbe A et al.  ·  J Clin Endocrinol Metab  ·  16.09.2026  ·  PMID 42745423</w:t>
      </w:r>
    </w:p>
    <w:p>
      <w:r>
        <w:t>Real-World-Kohortenstudie (246 Personen, 24 Jahre Diabetesdauer) zur Assoziation zwischen CGM-Metriken und Auftreten von Nephropathie, Retinopathie oder Neuropathie über 5 Jahre.</w:t>
      </w:r>
    </w:p>
    <w:p>
      <w:r>
        <w:rPr>
          <w:b/>
        </w:rPr>
        <w:t xml:space="preserve">Ergebnis: </w:t>
      </w:r>
      <w:r>
        <w:t>HbA1c sank von 7,6% auf 7,2%, TIR stieg von 50% auf 61%. Eine TIR-Abnahme ≥10% war assoziiert mit Komplikationsrate 33,3% (vs. 7,9% bei stabiler TIR, 15,0% bei Zunahme, p=0,011). Change in TIR blieb unabhängig mit Outcome assoziiert (AUC 0,757–0,787). Modelle mit CGM-Metriken und Alter zeigen akzeptable diskriminative Leistung.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ähnliche Versorgungsstruktur; TIR-Trend als Prognosemarker über HbA1c hinaus relevant</w:t>
      </w:r>
    </w:p>
    <w:p>
      <w:r>
        <w:rPr>
          <w:color w:val="5A7D3A"/>
          <w:sz w:val="18"/>
        </w:rPr>
        <w:t>https://pubmed.ncbi.nlm.nih.gov/42745423/</w:t>
      </w:r>
    </w:p>
    <w:p>
      <w:pPr>
        <w:pStyle w:val="Heading2"/>
      </w:pPr>
      <w:r>
        <w:t>Diabetes Distress: Evidenzbasierte Leitlinie zur Diagnostik und Therapie</w:t>
      </w:r>
    </w:p>
    <w:p>
      <w:r>
        <w:rPr>
          <w:i/>
          <w:color w:val="666666"/>
          <w:sz w:val="18"/>
        </w:rPr>
        <w:t>Speight J et al.  ·  Diabetologia  ·  15.09.2026  ·  PMID 42744915</w:t>
      </w:r>
    </w:p>
    <w:p>
      <w:r>
        <w:t>EASD-Leitlinie mit systematischer Evidenzbewertung zu Assessment und Behandlung der emotionalen Belastung (Diabetes Distress) bei Typ-1 und Typ-2-Diabetes im Erwachsenenalter.</w:t>
      </w:r>
    </w:p>
    <w:p>
      <w:r>
        <w:rPr>
          <w:b/>
        </w:rPr>
        <w:t xml:space="preserve">Ergebnis: </w:t>
      </w:r>
      <w:r>
        <w:t>Acht Good-Practice-Statements zum Screening (Routinediskussion psychisches Wohlbefinden, validierte Messtools), für Typ-1-Diabetes: CGM und automatisierte Insulingabe reduzieren Distress; für Typ-2-Diabetes: psychologische und schulische Interventionen wirksam; Empfehlungen basieren auf GRADE-Methodik mit systematischem Review und Metaanalyse.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Versorgungssystem, direkt in deutsches DMP integrierbar, Training erforderlich</w:t>
      </w:r>
    </w:p>
    <w:p>
      <w:r>
        <w:rPr>
          <w:color w:val="5A7D3A"/>
          <w:sz w:val="18"/>
        </w:rPr>
        <w:t>https://pubmed.ncbi.nlm.nih.gov/42744915/</w:t>
      </w:r>
    </w:p>
    <w:p>
      <w:pPr>
        <w:pStyle w:val="Heading2"/>
      </w:pPr>
      <w:r>
        <w:t>Prävention Typ-2-Diabetes: Bewegungsreaktion differiert nach Glukosestatus</w:t>
      </w:r>
    </w:p>
    <w:p>
      <w:r>
        <w:rPr>
          <w:i/>
          <w:color w:val="666666"/>
          <w:sz w:val="18"/>
        </w:rPr>
        <w:t>James E et al.  ·  Diabetologia  ·  14.09.2026  ·  PMID 42736402</w:t>
      </w:r>
    </w:p>
    <w:p>
      <w:r>
        <w:t>Gepoolte Analyse von 3 RCTs (2150 Personen, bis 48 Monate) zu Effekt strukturierter Lebensstil-Interventionen auf Bewegung und Glukose stratifiziert nach Baseline-Glukose-Phänotyp.</w:t>
      </w:r>
    </w:p>
    <w:p>
      <w:r>
        <w:rPr>
          <w:b/>
        </w:rPr>
        <w:t xml:space="preserve">Ergebnis: </w:t>
      </w:r>
      <w:r>
        <w:t>IFG+IGT-Gruppe: Intervention erhöhte Schritte um 808/Tag (95%-KI 402–1213) mit 2-h-Glukose-Senkung –0,5 mmol/L (p=0,001). Reine IFG-Gruppe nicht responsiv (71 Schritte, KI –429–571, n.s.). Normoglykämie und IGT-Gruppen zeigten intermediäre Effekte. Heterogene Baseline-Bewegungsmengen. Schluss: Klinische Wirksamkeit von Diabetes-Präventions-Programmen differiert nach Glykämiestatus.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Großbritannien/NIHR; Implikation: Interventionen müssen nach Phänotyp tailored werden</w:t>
      </w:r>
    </w:p>
    <w:p>
      <w:r>
        <w:rPr>
          <w:color w:val="5A7D3A"/>
          <w:sz w:val="18"/>
        </w:rPr>
        <w:t>https://pubmed.ncbi.nlm.nih.gov/42736402/</w:t>
      </w:r>
    </w:p>
    <w:p>
      <w:pPr>
        <w:pStyle w:val="Heading2"/>
      </w:pPr>
      <w:r>
        <w:t>Diabetes und Diphtherie durch Corynebacterium ulcerans: deutsches Risiko-Register 2017–2022</w:t>
      </w:r>
    </w:p>
    <w:p>
      <w:r>
        <w:rPr>
          <w:i/>
          <w:color w:val="666666"/>
          <w:sz w:val="18"/>
        </w:rPr>
        <w:t>Badenschier F et al.  ·  Dtsch Arztebl Int  ·  10.07.2026  ·  PMID 42687590</w:t>
      </w:r>
    </w:p>
    <w:p>
      <w:r>
        <w:t>Analyse des intensivierten Diphtherie-Surveillance-Systems (RKI) zur Assoziation zwischen Diabetes mellitus und invasivem C.-ulcerans-Infekt (Diphtherie) in Deutschland.</w:t>
      </w:r>
    </w:p>
    <w:p>
      <w:r>
        <w:rPr>
          <w:b/>
        </w:rPr>
        <w:t xml:space="preserve">Ergebnis: </w:t>
      </w:r>
      <w:r>
        <w:t>Gesamtzeitraum: 8 Fälle C.-ulcerans-Diphtherie. Diabetes mellitus und Haustierkontakt waren signifikante Risikofaktoren. Diabetiker zeigten erhöhte Prädisposition für schwere Infektionen. Daten aus deutschem Surveillance-System belegen epidemiologische Assoziation; Impfstatus und Management bei Diabetikern unterrepräsentiert.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RKI-Surveillance; direkter Anwendungsbezug für Diabetologen bei Impfempfehlungen</w:t>
      </w:r>
    </w:p>
    <w:p>
      <w:r>
        <w:rPr>
          <w:color w:val="5A7D3A"/>
          <w:sz w:val="18"/>
        </w:rPr>
        <w:t>https://pubmed.ncbi.nlm.nih.gov/42687590/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2026-09-17T06:00:00Z</dcterms:created>
  <dcterms:modified xsi:type="dcterms:W3CDTF">2026-09-17T06:00:00Z</dcterms:modified>
  <cp:category/>
</cp:coreProperties>
</file>