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Diabetes</w:t>
      </w:r>
    </w:p>
    <w:p>
      <w:r>
        <w:rPr>
          <w:i/>
          <w:color w:val="666666"/>
          <w:sz w:val="18"/>
        </w:rPr>
        <w:t>Stand: 08.10.2026  |  6 Studien  |  diabetes.m-vf.de</w:t>
      </w:r>
    </w:p>
    <w:p>
      <w:pPr>
        <w:pStyle w:val="Heading1"/>
      </w:pPr>
      <w:r>
        <w:t>Aufgenommen am 08.10.2026</w:t>
      </w:r>
    </w:p>
    <w:p>
      <w:pPr>
        <w:pStyle w:val="Heading2"/>
      </w:pPr>
      <w:r>
        <w:t>Automatische Insulinabgabe bei Typ-2-Diabetes: HbA1c um 0,7% gesenkt in 13 Wochen</w:t>
      </w:r>
    </w:p>
    <w:p>
      <w:r>
        <w:rPr>
          <w:i/>
          <w:color w:val="666666"/>
          <w:sz w:val="18"/>
        </w:rPr>
        <w:t>Levy CJ et al.  ·  Diabetes Care  ·  07.10.2026  ·  PMID 42844027</w:t>
      </w:r>
    </w:p>
    <w:p>
      <w:r>
        <w:t>Einarmige Studie in 40 US-Zentren: 307 Erwachsene mit insulinbehandeltem Typ-2-Diabetes setzen das twiist-Closed-Loop-System für 13 Wochen ein nach Baseline-CGM-Messung.</w:t>
      </w:r>
    </w:p>
    <w:p>
      <w:r>
        <w:rPr>
          <w:b/>
        </w:rPr>
        <w:t xml:space="preserve">Ergebnis: </w:t>
      </w:r>
      <w:r>
        <w:t>HbA1c fiel von 8,1% auf 7,4% (Reduktion 0,7%, 95%-KI –0,9 bis –0,6; p&lt;0,001). Time-in-Range 70–180 mg/dL stieg von 57% auf 73% (Differenz 16%, p&lt;0,001). Hypoglykämie blieb niedrig, ein Fall Ketoazidose, keine schwere Hypoglykämie. Nutzer-Zufriedenheit höher als mit bisheriger Insulintherapie (p&lt;0,001), Schlafqualität verbessert (p&lt;0,001).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Hilfsmittel-Kategorie – Machbarkeit und Sicherheit belegt, Erstattung in Deutschland Hürde</w:t>
      </w:r>
    </w:p>
    <w:p>
      <w:r>
        <w:rPr>
          <w:color w:val="5A7D3A"/>
          <w:sz w:val="18"/>
        </w:rPr>
        <w:t>https://pubmed.ncbi.nlm.nih.gov/42844027/</w:t>
      </w:r>
    </w:p>
    <w:p>
      <w:pPr>
        <w:pStyle w:val="Heading2"/>
      </w:pPr>
      <w:r>
        <w:t>GLP-1-Rezeptoragonisten senken Sturzrisiko bei Typ-2-Diabetes um 13%</w:t>
      </w:r>
    </w:p>
    <w:p>
      <w:r>
        <w:rPr>
          <w:i/>
          <w:color w:val="666666"/>
          <w:sz w:val="18"/>
        </w:rPr>
        <w:t>Zhang S et al.  ·  Diabetes Obes Metab  ·  07.10.2026  ·  PMID 42844025</w:t>
      </w:r>
    </w:p>
    <w:p>
      <w:r>
        <w:t>Retrospektive Kohortenstudie in US-Veteranen-Datenbank (2006–2021): 73.592 propensity-gematched Paare mit Typ-2-Diabetes verglichen GLP-1-Agonist-Start versus DPP-4-Inhibitor über ca. 27 Monate.</w:t>
      </w:r>
    </w:p>
    <w:p>
      <w:r>
        <w:rPr>
          <w:b/>
        </w:rPr>
        <w:t xml:space="preserve">Ergebnis: </w:t>
      </w:r>
      <w:r>
        <w:t>GLP-1-Agonisten waren mit geringerer Verschlechterung des Frailty-Index assoziiert (Koeffizient –0,0010; p=0,011), niedrigerem Sturzrisiko (Inzidenzrate-Ratio 0,87; 95%-KI 0,84–0,91; p&lt;0,001) und niedrigerem Progressionsrisiko für Frailty (OR 0,97; p=0,003) versus DPP-4-Inhibitoren. In schwerer Frailty war der Effekt abgeschwächt.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Veteranen-System – Sicherheitsbefund (Stürze, Frailty) auf Deutschland übertragbar</w:t>
      </w:r>
    </w:p>
    <w:p>
      <w:r>
        <w:rPr>
          <w:color w:val="5A7D3A"/>
          <w:sz w:val="18"/>
        </w:rPr>
        <w:t>https://pubmed.ncbi.nlm.nih.gov/42844025/</w:t>
      </w:r>
    </w:p>
    <w:p>
      <w:pPr>
        <w:pStyle w:val="Heading2"/>
      </w:pPr>
      <w:r>
        <w:t>Glykämische Kontrolle reduziert Zahnfleischentzündung ohne zahnärztliche Therapie</w:t>
      </w:r>
    </w:p>
    <w:p>
      <w:r>
        <w:rPr>
          <w:i/>
          <w:color w:val="666666"/>
          <w:sz w:val="18"/>
        </w:rPr>
        <w:t>Thiemann L et al.  ·  Exp Clin Endocrinol Diabetes  ·  07.10.2026  ·  PMID 42843803</w:t>
      </w:r>
    </w:p>
    <w:p>
      <w:r>
        <w:t>Einzelarmige Pilotstudie an deutschen Diabetespraxen: Menschen mit Typ-2-Diabetes und unzureichender Glukosekontrolle (HbA1c ≥8,0%) erhielten intensivierte Diabetestherapie ohne Zahnarztbehandlung; Mundgesundheit wurde vor und nach 3,8 Monaten gemessen.</w:t>
      </w:r>
    </w:p>
    <w:p>
      <w:r>
        <w:rPr>
          <w:b/>
        </w:rPr>
        <w:t xml:space="preserve">Ergebnis: </w:t>
      </w:r>
      <w:r>
        <w:t>Die HbA1c-Reduktion von durchschnittlich 9,3% auf 8,2% ging mit signifikanten Verbesserungen der Zahnfleischblutung und des Entzündungsindex einher (p=0,001 für beide). Higher HbA1c war signifikant mit höheren Entzündungswerten assoziiert (p=0,006). Lebensqualität zeigte keine Änderung.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Klinikdaten, direkt übertragbar auf Versorgung mit DMP-Bezug</w:t>
      </w:r>
    </w:p>
    <w:p>
      <w:r>
        <w:rPr>
          <w:color w:val="5A7D3A"/>
          <w:sz w:val="18"/>
        </w:rPr>
        <w:t>https://pubmed.ncbi.nlm.nih.gov/42843803/</w:t>
      </w:r>
    </w:p>
    <w:p>
      <w:pPr>
        <w:pStyle w:val="Heading2"/>
      </w:pPr>
      <w:r>
        <w:t>Diabetesremission senkt Gefäßkomplikationen deutlich – Metaanalyse</w:t>
      </w:r>
    </w:p>
    <w:p>
      <w:r>
        <w:rPr>
          <w:i/>
          <w:color w:val="666666"/>
          <w:sz w:val="18"/>
        </w:rPr>
        <w:t>Ruan C et al.  ·  Diabetes Res Clin Pract  ·  07.10.2026  ·  PMID 42843768</w:t>
      </w:r>
    </w:p>
    <w:p>
      <w:r>
        <w:t>Systematische Übersicht von 7 Kohorten mit zusammen über 5 Ländern: Menschen mit Typ-2-Diabetes in Remission (biochemisch normalisiert) wurden über Jahre nachverfolgt auf Herzinfarkt, Schlaganfall und Nierenschaden.</w:t>
      </w:r>
    </w:p>
    <w:p>
      <w:r>
        <w:rPr>
          <w:b/>
        </w:rPr>
        <w:t xml:space="preserve">Ergebnis: </w:t>
      </w:r>
      <w:r>
        <w:t>Remission senkte Mikrovaskulärrisiko um 32% (HR 0,68; 95%-KI 0,59–0,77) und Makrovaskulärrisiko um 27% (HR 0,73; 95%-KI 0,61–0,87). Befunde waren konsistent über Lebensstil-, Routinebehandlungs- und Operationssettings. Allerdings: Remission war nicht randomisiert; Verzerrung durch gleichzeitige Verbesserung anderer Risikofaktoren möglich.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Multizentrisch, europäische und außereuropäische Daten – Gesamtmuster auf Deutschland übertragbar</w:t>
      </w:r>
    </w:p>
    <w:p>
      <w:r>
        <w:rPr>
          <w:color w:val="5A7D3A"/>
          <w:sz w:val="18"/>
        </w:rPr>
        <w:t>https://pubmed.ncbi.nlm.nih.gov/42843768/</w:t>
      </w:r>
    </w:p>
    <w:p>
      <w:pPr>
        <w:pStyle w:val="Heading2"/>
      </w:pPr>
      <w:r>
        <w:t>Orales GLP-1-Mimetikum Safiglipron nicht unterlegen gegenüber SGLT2-Hemmer</w:t>
      </w:r>
    </w:p>
    <w:p>
      <w:r>
        <w:rPr>
          <w:i/>
          <w:color w:val="666666"/>
          <w:sz w:val="18"/>
        </w:rPr>
        <w:t>Guo L et al.  ·  Nat Med  ·  05.10.2026  ·  PMID 42834229</w:t>
      </w:r>
    </w:p>
    <w:p>
      <w:r>
        <w:t>Phase-3-RCT in 98 chinesischen Zentren: 810 Erwachsene mit Typ-2-Diabetes (HbA1c 8,6%) randomisiert zu Safiglipron (3 Dosen) oder Dapagliflozin über 32 Wochen plus 20-Wochen-Extension.</w:t>
      </w:r>
    </w:p>
    <w:p>
      <w:r>
        <w:rPr>
          <w:b/>
        </w:rPr>
        <w:t xml:space="preserve">Ergebnis: </w:t>
      </w:r>
      <w:r>
        <w:t>Alle drei Safiglipron-Dosen nicht unterlegen gegenüber Dapagliflozin (Nichtunterlegenheitsmarge 0,4%; alle p&lt;0,0001). Safiglipron 90 mg überlegen: HbA1c-Differenz –0,40% (95%-KI –0,62 bis –0,19). HbA1c-Zielwert &lt;7,0% erreicht: Safiglipron 54,9–63,5% vs. Dapagliflozin 36,5%. Gewichtsverlust –2,35% bis –4,17% (Safiglipron) vs. –3,60% (Dapagliflozin). GI-Nebenwirkungen bei Safiglipron häufiger, aber mild bis moderat (Abbruch 3,9–4,0% vs. 1,5%).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vergleichbares Versicherungssystem nicht vorhanden – Wirksamkeitssignal neu für orale GLP-1-Nachahmer</w:t>
      </w:r>
    </w:p>
    <w:p>
      <w:r>
        <w:rPr>
          <w:color w:val="5A7D3A"/>
          <w:sz w:val="18"/>
        </w:rPr>
        <w:t>https://pubmed.ncbi.nlm.nih.gov/42834229/</w:t>
      </w:r>
    </w:p>
    <w:p>
      <w:pPr>
        <w:pStyle w:val="Heading2"/>
      </w:pPr>
      <w:r>
        <w:t>Ahlqvist-Subtypen: Heterogenität der Typ-2-Diabetes, klinische Umsetzung offen</w:t>
      </w:r>
    </w:p>
    <w:p>
      <w:r>
        <w:rPr>
          <w:i/>
          <w:color w:val="666666"/>
          <w:sz w:val="18"/>
        </w:rPr>
        <w:t>Landgraf W et al.  ·  Diabetes Obes Metab  ·  05.10.2026  ·  PMID 42833878</w:t>
      </w:r>
    </w:p>
    <w:p>
      <w:r>
        <w:t>Narrative Übersicht: 28 Kohorten mit &gt;97.000 Menschen mit Typ-2-Diabetes, klassifiziert nach Ahlqvist-Methode (k-means clustering) in vier Subphänotypen (SIDD, SIRD, MARD, MOD).</w:t>
      </w:r>
    </w:p>
    <w:p>
      <w:r>
        <w:rPr>
          <w:b/>
        </w:rPr>
        <w:t xml:space="preserve">Ergebnis: </w:t>
      </w:r>
      <w:r>
        <w:t>MARD (mild altersbedingt) und MOD (mild adipositätsassoziiert) sind am häufigsten. SIDD zeigt schwere Insulindefizienz mit niedrigen C-Peptid-Spiegeln; SIRD Insulinresistenz mit Nephropathie-Risiko. Retrospektive Analysen der Glukosemeditionen zeigen keine klare Überlegenheit eines Therapieschemas für einzelne Subtypen. Klinische Umsetzung bleibt durch erhebliche Barrieren behindert.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und asiatische Kohorten – Machbarkeit in Deutschland unklar, weitere Studien nötig</w:t>
      </w:r>
    </w:p>
    <w:p>
      <w:r>
        <w:rPr>
          <w:color w:val="5A7D3A"/>
          <w:sz w:val="18"/>
        </w:rPr>
        <w:t>https://pubmed.ncbi.nlm.nih.gov/42833878/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Diabetes</dc:title>
  <dc:subject/>
  <dc:creator>Monitor Versorgungsforschung</dc:creator>
  <cp:keywords/>
  <dc:description>generated by python-docx</dc:description>
  <cp:lastModifiedBy/>
  <cp:revision>1</cp:revision>
  <dcterms:created xsi:type="dcterms:W3CDTF">2026-10-08T06:00:00Z</dcterms:created>
  <dcterms:modified xsi:type="dcterms:W3CDTF">2026-10-08T06:00:00Z</dcterms:modified>
  <cp:category/>
</cp:coreProperties>
</file>