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15.09.2026  |  36 Studien  |  diabetes.m-vf.de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Unteramputation bei Diabetes: 23,5 % Mortalität nach 1 Jahr, keine Verbesserung seit 2012</w:t>
      </w:r>
    </w:p>
    <w:p>
      <w:r>
        <w:rPr>
          <w:i/>
          <w:color w:val="666666"/>
          <w:sz w:val="18"/>
        </w:rPr>
        <w:t>Hennessy C et al.  ·  Diabetes Care  ·  14.09.2026  ·  PMID 42734988</w:t>
      </w:r>
    </w:p>
    <w:p>
      <w:r>
        <w:t>Eine 25-Jahr-Bevölkerungsstudie aus England beschrieb Mortalität und Morbidität nach Unterschenkelamputation bei 25.176 Diabetespatienten mittels verknüpfter Krankenhausdaten.</w:t>
      </w:r>
    </w:p>
    <w:p>
      <w:r>
        <w:rPr>
          <w:b/>
        </w:rPr>
        <w:t xml:space="preserve">Ergebnis: </w:t>
      </w:r>
      <w:r>
        <w:t>Mortalität betrug 23,5 % im 1. Jahr, 60,0 % im 5. Jahr und 82,3 % im 10. Jahr – ohne Verbesserung seit 2012. Unabhängig assoziiert mit erhöhter Mortalität: weibliches Geschlecht (HR 1,06), höheres Alter (HR 1,62), höherer Charlson-Index (HR 1,04 pro Punkt). 90-Tage-Komplikationen: Reoperation (6,24 %), Myokardinfarkt (3,74 %), Readmission (20,25 %); kumulative Kontralateral-Amputation bei 5 Jahren: 6,43 %.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nationale Krankenhausdaten vergleichbar mit deutschem KV-System.</w:t>
      </w:r>
    </w:p>
    <w:p>
      <w:r>
        <w:rPr>
          <w:color w:val="5A7D3A"/>
          <w:sz w:val="18"/>
        </w:rPr>
        <w:t>https://pubmed.ncbi.nlm.nih.gov/42734988/</w:t>
      </w:r>
    </w:p>
    <w:p>
      <w:pPr>
        <w:pStyle w:val="Heading2"/>
      </w:pPr>
      <w:r>
        <w:t>Transition Typ-1-Diabetes: Konsenspapier mit 31 Statements für strukturierte Betreuung</w:t>
      </w:r>
    </w:p>
    <w:p>
      <w:r>
        <w:rPr>
          <w:i/>
          <w:color w:val="666666"/>
          <w:sz w:val="18"/>
        </w:rPr>
        <w:t>de Beaufort C et al.  ·  Diabetologia  ·  14.09.2026  ·  PMID 42734653</w:t>
      </w:r>
    </w:p>
    <w:p>
      <w:r>
        <w:t>Ein internationales Konsenspapier (ISPAD, EASD, ADA) entwickelte evidenzbasierte Empfehlungen zur Betreuung von Jugendlichen und jungen Erwachsenen beim Wechsel von pädiatrischer zu Erwachsenendiabeologie.</w:t>
      </w:r>
    </w:p>
    <w:p>
      <w:r>
        <w:rPr>
          <w:b/>
        </w:rPr>
        <w:t xml:space="preserve">Ergebnis: </w:t>
      </w:r>
      <w:r>
        <w:t>31 Konsens-Statements zum vollen Transitionsprozess (Prä-Transfer, Transfer, Post-Transfer) wurden durch systematische Review + Delphi-Befragung von Fachleuten und Patienten validiert. Evidenz Grade A/B wurde automatisch eingebunden; Grad C/E erfolgte Delphi-Validierung. Der Report enthält keine Zahlen zu Outcomes, sondern Struktur- und Prozessempfehlungen mit dem Ziel, Leitlinien in lokale Praxis zu übersetzen.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Konsenspaper – Niederlande, Skandinavien, deutschsprachige Länder vertreten.</w:t>
      </w:r>
    </w:p>
    <w:p>
      <w:r>
        <w:rPr>
          <w:color w:val="5A7D3A"/>
          <w:sz w:val="18"/>
        </w:rPr>
        <w:t>https://pubmed.ncbi.nlm.nih.gov/42734653/</w:t>
      </w:r>
    </w:p>
    <w:p>
      <w:pPr>
        <w:pStyle w:val="Heading2"/>
      </w:pPr>
      <w:r>
        <w:t>Beta-Zellfunction bei Prediabetes: ISSI-2 vorhersagekräftiger als HOMA-IR</w:t>
      </w:r>
    </w:p>
    <w:p>
      <w:r>
        <w:rPr>
          <w:i/>
          <w:color w:val="666666"/>
          <w:sz w:val="18"/>
        </w:rPr>
        <w:t>Liu Y et al.  ·  Diabetes Obes Metab  ·  13.09.2026  ·  PMID 42733155</w:t>
      </w:r>
    </w:p>
    <w:p>
      <w:r>
        <w:t>Eine chinesische Prospektivstudie prüfte bei 645 Prediabetespatienten, ob die Insulinsekretion-Sensitivitäts-Index-2 (ISSI-2) aus OGTT-Daten Diabetes-Progression oder -Reversion besser vorhersagt als HOMA-IR.</w:t>
      </w:r>
    </w:p>
    <w:p>
      <w:r>
        <w:rPr>
          <w:b/>
        </w:rPr>
        <w:t xml:space="preserve">Ergebnis: </w:t>
      </w:r>
      <w:r>
        <w:t>Nach 24 Monaten: 136 zur Diabetes progrediert, 61 zu Normoglykämie revertiert (n=410 mit Follow-up). ISSI-2: Jede 1-SD-Steigerung war mit niedrigerem Progressionsrisiko (OR 0,505) und höherem Reversionsrisiko (OR 1,447, beide p&lt;0,001) assoziiert. HOMA-IR weniger konsistent. Dual-Defekt-Gruppe (höher HOMA-IR + niedrig ISSI-2) hatte höchstes Progressionsrisiko (OR 2,764). ISSI-2 erfasst Basalglykämie stärker als HOMA-IR.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Multicenterstichprobe, Konzept auf deutsche Screening-praxis übertragbar.</w:t>
      </w:r>
    </w:p>
    <w:p>
      <w:r>
        <w:rPr>
          <w:color w:val="5A7D3A"/>
          <w:sz w:val="18"/>
        </w:rPr>
        <w:t>https://pubmed.ncbi.nlm.nih.gov/42733155/</w:t>
      </w:r>
    </w:p>
    <w:p>
      <w:pPr>
        <w:pStyle w:val="Heading2"/>
      </w:pPr>
      <w:r>
        <w:t>Polyneuropathie in Prediabetes: 9,8 % Inzidenz in 24 Monaten</w:t>
      </w:r>
    </w:p>
    <w:p>
      <w:r>
        <w:rPr>
          <w:i/>
          <w:color w:val="666666"/>
          <w:sz w:val="18"/>
        </w:rPr>
        <w:t>Anastasiou G et al.  ·  Diabetes Res Clin Pract  ·  13.08.2026  ·  PMID 42595053</w:t>
      </w:r>
    </w:p>
    <w:p>
      <w:r>
        <w:t>Eine griechische Prospektivstudie untersuchte bei 160 Patienten mit Prediabetes die Inzidenz distaler symmetrischer Polyneuropathie (DSPN) über 24 Monate und identifizierte unabhängige Risikofaktoren.</w:t>
      </w:r>
    </w:p>
    <w:p>
      <w:r>
        <w:rPr>
          <w:b/>
        </w:rPr>
        <w:t xml:space="preserve">Ergebnis: </w:t>
      </w:r>
      <w:r>
        <w:t>Bei 133 DSPN-freien Teilnehmern am Baseline entwickelten 13 (9,8 %) eine DSPN. Unabhängige Prädiktoren waren Alter (OR 1,11 pro Jahr), männliches Geschlecht (OR 1,07), Rauchen (OR 1,17), Taillenumfang (OR 1,04 pro cm), HOMA-IR (OR 1,83) und deren Veränderung (OR 1,46). Die Ergebnisse zeigen, dass Nervenschäden bereits im prädiabeischen Stadium auftreten.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vergleichbares europäisches Versichertensystem.</w:t>
      </w:r>
    </w:p>
    <w:p>
      <w:r>
        <w:rPr>
          <w:color w:val="5A7D3A"/>
          <w:sz w:val="18"/>
        </w:rPr>
        <w:t>https://pubmed.ncbi.nlm.nih.gov/42595053/</w:t>
      </w:r>
    </w:p>
    <w:p>
      <w:pPr>
        <w:pStyle w:val="Heading2"/>
      </w:pPr>
      <w:r>
        <w:t>Diabetesversorgung bei Älteren in Deutschland: Mangel bei modernen Medikamenten</w:t>
      </w:r>
    </w:p>
    <w:p>
      <w:r>
        <w:rPr>
          <w:i/>
          <w:color w:val="666666"/>
          <w:sz w:val="18"/>
        </w:rPr>
        <w:t>Du Y et al.  ·  Diabetes Obes Metab  ·  11.08.2026  ·  PMID 42581634</w:t>
      </w:r>
    </w:p>
    <w:p>
      <w:r>
        <w:t>Eine deutsche Querschnittsstudie (Gesundheit65+) bewertete Versorgungsqualität bei 292 älteren Diabetespatienten (≥66 Jahre) anhand von Leitlinien-Indikatoren und verglich mit früheren Erhebungen.</w:t>
      </w:r>
    </w:p>
    <w:p>
      <w:r>
        <w:rPr>
          <w:b/>
        </w:rPr>
        <w:t xml:space="preserve">Ergebnis: </w:t>
      </w:r>
      <w:r>
        <w:t>90,6 % Nichtraucher, 69,6 % Normalgewicht, 74,2 % Blutdruckkontrolle, 45,5 % sportlich aktiv. Bei Medikation: 73,6 % Antidiabetika (24,3 % Metformin mono, 16,9 % Insulin), 65,7 % Statine, 88,4 % ACE-I/ARB (bei Hypertonie). Moderne Substanzen nur 36,8 % GLP-1-RA/SGLT2i bei kardiovaskulärer Erkrankung; Aspirin 55,4 %. Trend-Analyse (66–79 J.): Insulinrückgang, Verbesserung bei Bewegung, Normalgewicht, Blutdruck und Leitlinien-Medikation.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Robert-Koch-Institut, nationale Untersuchungsdaten.</w:t>
      </w:r>
    </w:p>
    <w:p>
      <w:r>
        <w:rPr>
          <w:color w:val="5A7D3A"/>
          <w:sz w:val="18"/>
        </w:rPr>
        <w:t>https://pubmed.ncbi.nlm.nih.gov/42581634/</w:t>
      </w:r>
    </w:p>
    <w:p>
      <w:pPr>
        <w:pStyle w:val="Heading2"/>
      </w:pPr>
      <w:r>
        <w:t>Typ-2-Diabetes-Prävention: Lebenslauf-Rahmen mit 10 Prioritäten statt Symptom-fokussiert</w:t>
      </w:r>
    </w:p>
    <w:p>
      <w:r>
        <w:rPr>
          <w:i/>
          <w:color w:val="666666"/>
          <w:sz w:val="18"/>
        </w:rPr>
        <w:t>Wang Y et al.  ·  Nat Med  ·  10.08.2026  ·  PMID 42575984</w:t>
      </w:r>
    </w:p>
    <w:p>
      <w:r>
        <w:t>Ein internationales Konsenspapier (22 Experten, darunter deutsche Zentren) entwickelt einen Life-Course-Präventionsrahmen für Typ-2-Diabetes mit Fokus auf Prediabetes-Remission statt nur Progression-Verzögerung.</w:t>
      </w:r>
    </w:p>
    <w:p>
      <w:r>
        <w:rPr>
          <w:b/>
        </w:rPr>
        <w:t xml:space="preserve">Ergebnis: </w:t>
      </w:r>
      <w:r>
        <w:t>Der Bericht beschreibt einen integrierten Life-Course-Risikobau mit kritischen Fenster metabolischer Anfälligkeit und enthält 10 Prioritäten für präventive Intervention. Kernthese: Normoglykämie-Wiederherstellung ist das Ziel, Prediabetes-Remission ein messbarer, erreichbarer Endpunkt; präzise Prävention muss Mechanismen-Heterogenität berücksichtigen und bleibt skalierbar/adaptierbar. Keine Outcome-Zahlen, aber konzeptionelle Rahmengebung für neue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Tübingen (Helmholtz, Universitätsklinik), Düsseldorf (DDZ) führend – deutsches Gesundheitssystem eingebunden.</w:t>
      </w:r>
    </w:p>
    <w:p>
      <w:r>
        <w:rPr>
          <w:color w:val="5A7D3A"/>
          <w:sz w:val="18"/>
        </w:rPr>
        <w:t>https://pubmed.ncbi.nlm.nih.gov/42575984/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