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27.10.2026  |  5 Studien  |  diabetes.m-vf.de</w:t>
      </w:r>
    </w:p>
    <w:p>
      <w:pPr>
        <w:pStyle w:val="Heading1"/>
      </w:pPr>
      <w:r>
        <w:t>Aufgenommen am 27.10.2026</w:t>
      </w:r>
    </w:p>
    <w:p>
      <w:pPr>
        <w:pStyle w:val="Heading2"/>
      </w:pPr>
      <w:r>
        <w:t>Hohe HbA1c-Werte erhöhen Sterblichkeit bei Mukoviszidose-Diabetes deutlich</w:t>
      </w:r>
    </w:p>
    <w:p>
      <w:r>
        <w:rPr>
          <w:i/>
          <w:color w:val="666666"/>
          <w:sz w:val="18"/>
        </w:rPr>
        <w:t>Adler AI et al.  ·  Diabetes Care  ·  26.10.2026  ·  PMID 42930457</w:t>
      </w:r>
    </w:p>
    <w:p>
      <w:r>
        <w:t>Kohortenstudie mit UK-Registerdaten zu 4.477 Patienten mit Mukoviszidose-assoziiertem Diabetes über 31.311 Personenjahre, die Zusammenhang zwischen langfristiger Glykämie und Mortalität untersuchte.</w:t>
      </w:r>
    </w:p>
    <w:p>
      <w:r>
        <w:rPr>
          <w:b/>
        </w:rPr>
        <w:t xml:space="preserve">Ergebnis: </w:t>
      </w:r>
      <w:r>
        <w:t>Mortalität stieg mit HbA1c progressiv: Adjustierte Hazard Ratios betrugen 1,41 (95%-KI 1,15–1,73) für HbA1c &gt;42–53 mmol/mol, 1,66 (1,33–2,07) für &gt;53–69 mmol/mol und 1,93 (1,53–2,43) für &gt;69 mmol/mol (verglichen mit ≤42 mmol/mol). Dies zeigt einen starken klinischen Endpunkt (Sterblichkeit), nicht nur Laborwertveränderung.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UK-Gesundheitssystem mit vergleichbarem Register; Ergebnis übertragbar auf europäische Versorgung diabetischer Komplikationen.</w:t>
      </w:r>
    </w:p>
    <w:p>
      <w:r>
        <w:rPr>
          <w:color w:val="5A7D3A"/>
          <w:sz w:val="18"/>
        </w:rPr>
        <w:t>https://pubmed.ncbi.nlm.nih.gov/42930457/</w:t>
      </w:r>
    </w:p>
    <w:p>
      <w:pPr>
        <w:pStyle w:val="Heading2"/>
      </w:pPr>
      <w:r>
        <w:t>Web-basierte Diabetesschulung im NHS senkt Blutzucker, aber Retention bleibt schwach</w:t>
      </w:r>
    </w:p>
    <w:p>
      <w:r>
        <w:rPr>
          <w:i/>
          <w:color w:val="666666"/>
          <w:sz w:val="18"/>
        </w:rPr>
        <w:t>Cotterill S et al.  ·  Diabet Med  ·  25.10.2026  ·  PMID 42928587</w:t>
      </w:r>
    </w:p>
    <w:p>
      <w:r>
        <w:t>Evaluationsmix aus Interviews, Inhaltsanalyse und Kosten-Nutzen-Analyse des NHS-Programms 'Healthy Living' zur digitalen Typ-2-Diabetes-Selbstmanagement in England.</w:t>
      </w:r>
    </w:p>
    <w:p>
      <w:r>
        <w:rPr>
          <w:b/>
        </w:rPr>
        <w:t xml:space="preserve">Ergebnis: </w:t>
      </w:r>
      <w:r>
        <w:t>Bei Registrierten sank HbA1c um 1 mmol/mol (95%-KI: −2, −1; −0,1% [95%-KI: −0,2%, −0,1%]) gegenüber Standardbehandlung; Programm war kosteneffektiv. Schwächen: große Unterschiede in Aufnahme und Bindung, viele Nutzer zeitlich limitiert aktiv; bessere Ergebnisse bei intensiverem Programmgebrauch.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NHS-Daten; Versorgungsmodell und Barrieren (Retention, ethnische Disparitäten, Deprivation) direkt auf deutsches Diabetes-Management übertragbar.</w:t>
      </w:r>
    </w:p>
    <w:p>
      <w:r>
        <w:rPr>
          <w:color w:val="5A7D3A"/>
          <w:sz w:val="18"/>
        </w:rPr>
        <w:t>https://pubmed.ncbi.nlm.nih.gov/42928587/</w:t>
      </w:r>
    </w:p>
    <w:p>
      <w:pPr>
        <w:pStyle w:val="Heading2"/>
      </w:pPr>
      <w:r>
        <w:t>GLP-1-Agonisten erhöhen Depression, senken aber Substanzmissbrauch und Suizidalität</w:t>
      </w:r>
    </w:p>
    <w:p>
      <w:r>
        <w:rPr>
          <w:i/>
          <w:color w:val="666666"/>
          <w:sz w:val="18"/>
        </w:rPr>
        <w:t>Baik SH et al.  ·  Diabetes Obes Metab  ·  25.10.2026  ·  PMID 42928425</w:t>
      </w:r>
    </w:p>
    <w:p>
      <w:r>
        <w:t>Populationsbasierte Kohortenstudie von Medicare-Versicherten mit Typ-2-Diabetes: GLP-1-Agonisten vs. andere Antidiabetika; acht neuropsychiatrische Endpunkte über propensity-score-matched, multivariate Cox-Regression mit zeitvarianten Kovariaten.</w:t>
      </w:r>
    </w:p>
    <w:p>
      <w:r>
        <w:rPr>
          <w:b/>
        </w:rPr>
        <w:t xml:space="preserve">Ergebnis: </w:t>
      </w:r>
      <w:r>
        <w:t>GLP-1-RA assoziiert mit HR für Depressionen 1,11 (3,0 Überschuss-Events/1.000 Personenjahre) und aggregierte psychiatrische Störungen HR 1,04 (1,03–1,06). Aber HR für Substanzmissbrauch 0,84 (4,1 weniger Events/1.000 PJ), Demenz 0,87 (2,8 weniger) und Suizid/Selbstverletzung 0,81 (0,4 weniger). Effekte variierten nach Behandlungsmuster: Monotherapie zeigte erhöhtes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USA-Versichertendaten; Sicherheitssignal (Depression) nicht US-spezifisch, aber Beobachtungsdaten – Generalisierbarkeit auf deutsche Nutzung limitiert; externe Validierung erforderlich.</w:t>
      </w:r>
    </w:p>
    <w:p>
      <w:r>
        <w:rPr>
          <w:color w:val="5A7D3A"/>
          <w:sz w:val="18"/>
        </w:rPr>
        <w:t>https://pubmed.ncbi.nlm.nih.gov/42928425/</w:t>
      </w:r>
    </w:p>
    <w:p>
      <w:pPr>
        <w:pStyle w:val="Heading2"/>
      </w:pPr>
      <w:r>
        <w:t>Semaglutid senkt Asthma-, Psoriasis- und Analgetika-Verordnungen, hebt aber Anxiolytika</w:t>
      </w:r>
    </w:p>
    <w:p>
      <w:r>
        <w:rPr>
          <w:i/>
          <w:color w:val="666666"/>
          <w:sz w:val="18"/>
        </w:rPr>
        <w:t>Roland N et al.  ·  Diabetes Obes Metab  ·  25.10.2026  ·  PMID 42928048</w:t>
      </w:r>
    </w:p>
    <w:p>
      <w:r>
        <w:t>Dänische Registeranalyse: Unterbrochene Zeitreihe mit 189.392 Personen, die Semaglutid zur Gewichtsreduktion begannen (2022–2024); monatliche Verschreibungsvolumina in 10 Medikamentenklassen in 24 Monaten vorher und 12 Monaten nachher.</w:t>
      </w:r>
    </w:p>
    <w:p>
      <w:r>
        <w:rPr>
          <w:b/>
        </w:rPr>
        <w:t xml:space="preserve">Ergebnis: </w:t>
      </w:r>
      <w:r>
        <w:t>Bei 12 Monaten Semaglutid-Therapie Rate Ratios für Verordnungen vs. vorhergesagter Trend: Antiasthmatika 0,82 (95%-KI 0,79–0,86), topische Kortikosteroide 0,91 (0,87–0,96), Analgetika 0,93 (0,90–0,96), Antidepressiva 0,93 (0,89–0,98). Aber Anxiolytika stiegen auf 1,16 (1,08–1,24) und blieben erhöht nach 2 Jahren.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nationale Daten, vergleichbares skandinavisches Gesundheitssystem; Befund zu Begleitmedikation und Gewichtseffekt übertragbar auf deutsches Versorgungsmuster.</w:t>
      </w:r>
    </w:p>
    <w:p>
      <w:r>
        <w:rPr>
          <w:color w:val="5A7D3A"/>
          <w:sz w:val="18"/>
        </w:rPr>
        <w:t>https://pubmed.ncbi.nlm.nih.gov/42928048/</w:t>
      </w:r>
    </w:p>
    <w:p>
      <w:pPr>
        <w:pStyle w:val="Heading2"/>
      </w:pPr>
      <w:r>
        <w:t>Rauchen aufzugeben senkt Diabetes-Risiko langfristig, kurzzeitig aber nicht</w:t>
      </w:r>
    </w:p>
    <w:p>
      <w:r>
        <w:rPr>
          <w:i/>
          <w:color w:val="666666"/>
          <w:sz w:val="18"/>
        </w:rPr>
        <w:t>Yamamoto S et al.  ·  Diabetes Obes Metab  ·  25.10.2026  ·  PMID 42928040</w:t>
      </w:r>
    </w:p>
    <w:p>
      <w:r>
        <w:t>Target-Trial-Emulation mit wiederholtem jährlichem Einschluss von japanischen Arbeitnehmern (2008–2022) ohne Diabetes; Inverse Wahrscheinlichkeitsgewichtung zur Adjustment von Confounding in 331.701 Teilnehmern aus 52.880 Individuen.</w:t>
      </w:r>
    </w:p>
    <w:p>
      <w:r>
        <w:rPr>
          <w:b/>
        </w:rPr>
        <w:t xml:space="preserve">Ergebnis: </w:t>
      </w:r>
      <w:r>
        <w:t>Risikoquotient für Diabetes bei Rauchstopp versus fortgesetztem Rauchen: 1,15 (95%-KI 1,07–1,24) nach 3 Jahren, aber 0,95 (0,85–1,06) nach 15 Jahren. Kurzzeitige Risikoerhöhung durch Gewichtszunahme löst sich auf; langfristig ist Rauchstopp metabolisch günstig.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Betriebsdaten; Befund zur Langzeitprävention unabhängig vom Gesundheitssystem, relevant für Diabetes-Prävention und Patientenberatung weltweit.</w:t>
      </w:r>
    </w:p>
    <w:p>
      <w:r>
        <w:rPr>
          <w:color w:val="5A7D3A"/>
          <w:sz w:val="18"/>
        </w:rPr>
        <w:t>https://pubmed.ncbi.nlm.nih.gov/42928040/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2026-10-27T06:00:00Z</dcterms:created>
  <dcterms:modified xsi:type="dcterms:W3CDTF">2026-10-27T06:00:00Z</dcterms:modified>
  <cp:category/>
</cp:coreProperties>
</file>