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29.09.2026  |  7 Studien  |  diabetes.m-vf.de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NT-proBNP-Screening bei älteren Typ-2-Diabetikern kosteneffektiv für Herzinsuffizienz-Früherkennung</w:t>
      </w:r>
    </w:p>
    <w:p>
      <w:r>
        <w:rPr>
          <w:i/>
          <w:color w:val="666666"/>
          <w:sz w:val="18"/>
        </w:rPr>
        <w:t>Januzzi JL et al.  ·  BMJ Open Diabetes Res Care  ·  28.09.2026  ·  PMID 42805765</w:t>
      </w:r>
    </w:p>
    <w:p>
      <w:r>
        <w:t>USA-Markov-Modell (Medicare-Perspektive): NT-proBNP-Test + Standardassessment vs. nur Standardassessment bei ≥65-Jährigen mit T2D.</w:t>
      </w:r>
    </w:p>
    <w:p>
      <w:r>
        <w:rPr>
          <w:b/>
        </w:rPr>
        <w:t xml:space="preserve">Ergebnis: </w:t>
      </w:r>
      <w:r>
        <w:t>NT-proBNP prolongierte Überleben (6,27 vs. 4,99 Lebensjahre), verbesserte QALYs (3,45 vs. 2,84), senkte HF-Hospitalisierungen pro Lebensjahr (0,29 vs. 0,43). Zusatzkosten US$24.727 (Gesamtkosten US$117.010 vs. US$92.283); inkrementelle Kosteneffektivität: US$40.883 pro QALY – kosteneffektiv unter Schwelle $50.000.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 (Medicare); Schwelle nicht auf deutsches GKV-System übertragbar; Screening-Rationale bei T2D-älteren robust.</w:t>
      </w:r>
    </w:p>
    <w:p>
      <w:r>
        <w:rPr>
          <w:color w:val="5A7D3A"/>
          <w:sz w:val="18"/>
        </w:rPr>
        <w:t>https://pubmed.ncbi.nlm.nih.gov/42805765/</w:t>
      </w:r>
    </w:p>
    <w:p>
      <w:pPr>
        <w:pStyle w:val="Heading2"/>
      </w:pPr>
      <w:r>
        <w:t>Tirzepatid 24 Wochen: −16% Gewicht, erhaltene Muskulatur, bessere Insulin-Sensitivität</w:t>
      </w:r>
    </w:p>
    <w:p>
      <w:r>
        <w:rPr>
          <w:i/>
          <w:color w:val="666666"/>
          <w:sz w:val="18"/>
        </w:rPr>
        <w:t>Brancato D et al.  ·  J Diabetes Complications  ·  25.09.2026  ·  PMID 42805130</w:t>
      </w:r>
    </w:p>
    <w:p>
      <w:r>
        <w:t>Real-World-Beobachtungsstudie an 122 Erwachsenen (80 % Frauen, 44±15 Jahre) ohne Diabetes mit Übergewicht/Adipositas + Komorbiditäten unter Tirzepatid + Diät + Bewegung über 24 Wochen.</w:t>
      </w:r>
    </w:p>
    <w:p>
      <w:r>
        <w:rPr>
          <w:b/>
        </w:rPr>
        <w:t xml:space="preserve">Ergebnis: </w:t>
      </w:r>
      <w:r>
        <w:t>Gewicht sank von 95±20 auf 80±22 kg (−16 %), BMI von 35±6 auf 29±7 kg/m² (p&lt;0,001). Fettmasse um 35 % reduziert, Skelettmuskulatur erhalten (p=ns). HbA1c von 5,5±0,4 % auf 5,2±0,1 % (p=0,007), HOMA-IR von 4,2±4,7 auf 2,5±2,1 (p=0,001). Gewichtsverlust identisch mit SURMOUNT-1-Trial nach 72 Wochen.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(Universität Palermo); Übertragbar auf deutsche Private + GKV mit Fokus auf Real-World-Effektivität vs. Studieneffektivität.</w:t>
      </w:r>
    </w:p>
    <w:p>
      <w:r>
        <w:rPr>
          <w:color w:val="5A7D3A"/>
          <w:sz w:val="18"/>
        </w:rPr>
        <w:t>https://pubmed.ncbi.nlm.nih.gov/42805130/</w:t>
      </w:r>
    </w:p>
    <w:p>
      <w:pPr>
        <w:pStyle w:val="Heading2"/>
      </w:pPr>
      <w:r>
        <w:t>Kraft + Ausdauer bei T2D: Reihenfolge ist Geschmackssache (Netzwerk-Metaanalyse)</w:t>
      </w:r>
    </w:p>
    <w:p>
      <w:r>
        <w:rPr>
          <w:i/>
          <w:color w:val="666666"/>
          <w:sz w:val="18"/>
        </w:rPr>
        <w:t>Li Z et al.  ·  Endocrine  ·  28.09.2026  ·  PMID 42804093</w:t>
      </w:r>
    </w:p>
    <w:p>
      <w:r>
        <w:t>Netzwerk-Metaanalyse von 27 RCTs (n=965): Aerobic-dann-Kraft (CART) vs. Kraft-dann-Aerobic (CRAT) vs. Kontrolle bei T2D-Kardiometabolik.</w:t>
      </w:r>
    </w:p>
    <w:p>
      <w:r>
        <w:rPr>
          <w:b/>
        </w:rPr>
        <w:t xml:space="preserve">Ergebnis: </w:t>
      </w:r>
      <w:r>
        <w:t>Beide Sequenzen verbesserten Körperfettanteil, HbA1c, Nüchternglukose, Gesamtcholesterin, Triglyzeride, LDL (alle p&lt;0,05). SUCRA-Rankings: CRAT superior für Körperkomposition &amp; glykämische Kontrolle, CART für Blutdruck. Sensitivitätsanalysen: Trainingsdauer und Geschlecht modifizierten Rankings. Metaregressionen: Alter könnte relative Effektivität für BMI, HbA1c, RR ändern. Keine definitive Überlegenheit einer Sequenz; CINeMA-Evidenzqualität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RCT-Evidenz; Sequenzierung trainingstechnisch, nicht therapeutisch relevant; übertragbar auf deutsche DMP-Trainingsempfehlungen.</w:t>
      </w:r>
    </w:p>
    <w:p>
      <w:r>
        <w:rPr>
          <w:color w:val="5A7D3A"/>
          <w:sz w:val="18"/>
        </w:rPr>
        <w:t>https://pubmed.ncbi.nlm.nih.gov/42804093/</w:t>
      </w:r>
    </w:p>
    <w:p>
      <w:pPr>
        <w:pStyle w:val="Heading2"/>
      </w:pPr>
      <w:r>
        <w:t>Metabolisch gesund mit Adipositas in T1D: niedriges Mortalitätsrisiko trotz hohem BMI</w:t>
      </w:r>
    </w:p>
    <w:p>
      <w:r>
        <w:rPr>
          <w:i/>
          <w:color w:val="666666"/>
          <w:sz w:val="18"/>
        </w:rPr>
        <w:t>Kim JA et al.  ·  J Diabetes Investig  ·  28.09.2026  ·  PMID 42803660</w:t>
      </w:r>
    </w:p>
    <w:p>
      <w:r>
        <w:t>Südkoreanische Kohortenstudie (2002–2018, 8.838 T1D-Patienten): Klassifizierung nach metabolischer Gesundheit × BMI-Kategorie, Follow-up Mortalität bis 2020.</w:t>
      </w:r>
    </w:p>
    <w:p>
      <w:r>
        <w:rPr>
          <w:b/>
        </w:rPr>
        <w:t xml:space="preserve">Ergebnis: </w:t>
      </w:r>
      <w:r>
        <w:t>Metabolisch gesunde Adipositas (MHO) hatte niedrigsten Mortalitätsrisiko (aHR 0,70; p=0,007) vs. metabolisch-gesund Normalgewicht (Referenz). Untergewicht, metabolisch ungünstig: HR 3,94 (MUUW) für Gesamtmortalität. Metabolische Ungünstig + Untergewicht hatte 6,31-faches kardiovaskuläres Mortalitätsrisiko.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(Nationale Datenbank); T1D-Population unterscheidet sich von europäischer; Konzept metabolische Gesundheit unabhängig von BMI relevant für alle Gesundheitssysteme.</w:t>
      </w:r>
    </w:p>
    <w:p>
      <w:r>
        <w:rPr>
          <w:color w:val="5A7D3A"/>
          <w:sz w:val="18"/>
        </w:rPr>
        <w:t>https://pubmed.ncbi.nlm.nih.gov/42803660/</w:t>
      </w:r>
    </w:p>
    <w:p>
      <w:pPr>
        <w:pStyle w:val="Heading2"/>
      </w:pPr>
      <w:r>
        <w:t>GLP-1-Agonist zu SGLT2-Inhibitor reduziert Nierenkomplikationen und Mortalität bei CKD</w:t>
      </w:r>
    </w:p>
    <w:p>
      <w:r>
        <w:rPr>
          <w:i/>
          <w:color w:val="666666"/>
          <w:sz w:val="18"/>
        </w:rPr>
        <w:t>Salim H et al.  ·  Diabetes Obes Metab  ·  27.09.2026  ·  PMID 42802242</w:t>
      </w:r>
    </w:p>
    <w:p>
      <w:r>
        <w:t>Real-World-Studie zur zusätzlichen GLP-1-Rezeptoragonist-Gabe nach SGLT2-Inhibitor bei chronischer Nierenkrankheit (12 Monate Follow-up in TriNetX Global Collaborative Network, 32.448 Patienten).</w:t>
      </w:r>
    </w:p>
    <w:p>
      <w:r>
        <w:rPr>
          <w:b/>
        </w:rPr>
        <w:t xml:space="preserve">Ergebnis: </w:t>
      </w:r>
      <w:r>
        <w:t>GLP-1RA-Zusatz reduzierte Major Adverse Kidney Events (MAKE) um 30 % (HR 0,70; 95 % KI 0,65–0,74; p&lt;0,001), Major Adverse Cardiovascular Events (MACE) um 17 % (HR 0,83; 95 % KI 0,78–0,87) und Gesamtmortalität um 45 % (HR 0,55; 95 % KI 0,50–0,61) verglichen mit SGLT2i-Monotherapie. Effekte konsistent über CKD-Stadien.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UK-Datensätze (TriNetX), ähnliche Versicherungssysteme mit USA; Daten zur Additivität in europäischen Versorgungssystemen fehlen noch.</w:t>
      </w:r>
    </w:p>
    <w:p>
      <w:r>
        <w:rPr>
          <w:color w:val="5A7D3A"/>
          <w:sz w:val="18"/>
        </w:rPr>
        <w:t>https://pubmed.ncbi.nlm.nih.gov/42802242/</w:t>
      </w:r>
    </w:p>
    <w:p>
      <w:pPr>
        <w:pStyle w:val="Heading2"/>
      </w:pPr>
      <w:r>
        <w:t>Gewichtsschwankungen erhöhen Demenz-Risiko bei junger T2D mit Depression</w:t>
      </w:r>
    </w:p>
    <w:p>
      <w:r>
        <w:rPr>
          <w:i/>
          <w:color w:val="666666"/>
          <w:sz w:val="18"/>
        </w:rPr>
        <w:t>Kang HY et al.  ·  Diabetes Obes Metab  ·  27.09.2026  ·  PMID 42802237</w:t>
      </w:r>
    </w:p>
    <w:p>
      <w:r>
        <w:t>Südkoreanische Kohortenstudie an 17.851 Erwachsenen (20–59 Jahre) mit T2D und Depression; Gewichtsveränderung 2010–2012 als Prädiktor für Demenzinzidenz.</w:t>
      </w:r>
    </w:p>
    <w:p>
      <w:r>
        <w:rPr>
          <w:b/>
        </w:rPr>
        <w:t xml:space="preserve">Ergebnis: </w:t>
      </w:r>
      <w:r>
        <w:t>Starke Gewichtsverluste (−10 bis −5 %) oder Gewichtszunahmen (≥+10 %) verdoppelten/verdreifachten das Demenzrisiko (HR 1,69 bzw. 1,74) über 10,3 Jahre (527 Fälle aus 17.851 Personen, 2,96 pro 1.000 Personenjahre). Beziehung nichtlinear und teilweise durch depressionsassoziierte Vorgänge erklärbar.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(vergleichbarer Versicherungssystem); Relevanz für deutsche T2D-Depression-Kohorte unklar, da Depression-Definition abweichen kann.</w:t>
      </w:r>
    </w:p>
    <w:p>
      <w:r>
        <w:rPr>
          <w:color w:val="5A7D3A"/>
          <w:sz w:val="18"/>
        </w:rPr>
        <w:t>https://pubmed.ncbi.nlm.nih.gov/42802237/</w:t>
      </w:r>
    </w:p>
    <w:p>
      <w:pPr>
        <w:pStyle w:val="Heading2"/>
      </w:pPr>
      <w:r>
        <w:t>eGFR &lt;45 verdoppelt/vervierfacht Mortalität bei diabetischem Fußulkus</w:t>
      </w:r>
    </w:p>
    <w:p>
      <w:r>
        <w:rPr>
          <w:i/>
          <w:color w:val="666666"/>
          <w:sz w:val="18"/>
        </w:rPr>
        <w:t>Shi H et al.  ·  Diabetes Obes Metab  ·  27.09.2026  ·  PMID 42802189</w:t>
      </w:r>
    </w:p>
    <w:p>
      <w:r>
        <w:t>Retrospektive multidisziplinäre Kohortenstudie an 595 hospitalisierten Diabetikern mit Fußulkus; Outcome: Gesamtmortalität.</w:t>
      </w:r>
    </w:p>
    <w:p>
      <w:r>
        <w:rPr>
          <w:b/>
        </w:rPr>
        <w:t xml:space="preserve">Ergebnis: </w:t>
      </w:r>
      <w:r>
        <w:t>Nichtlineare eGFR-Mortalitäts-Beziehung (p&lt;0,001). Gegenüber eGFR ≥60 ml/min/1,73 m²: adjustierte HR 2,59 (95 % KI 1,34–4,98; p=0,004) für eGFR 30–&lt;45 und HR 4,67 (2,63–8,30; p&lt;0,001) für eGFR &lt;30. Fortgeschrittenes Alter, niedriger BMI, reduziertes Serumalbumin unabhängig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(PLA-Krankenhaus Beijing); Diabetisches Fußsyndrom + CKD ist europäisches Versorgungsproblem; Schwellenwert eGFR 45 für Risikostratifizierung übertragbar.</w:t>
      </w:r>
    </w:p>
    <w:p>
      <w:r>
        <w:rPr>
          <w:color w:val="5A7D3A"/>
          <w:sz w:val="18"/>
        </w:rPr>
        <w:t>https://pubmed.ncbi.nlm.nih.gov/42802189/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