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03.10.2026  |  5 Studien  |  diabetes.m-vf.de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Kanada: Kardiovaskuläre Präventionsziele bei Diabetes zu wenig erreicht</w:t>
      </w:r>
    </w:p>
    <w:p>
      <w:r>
        <w:rPr>
          <w:i/>
          <w:color w:val="666666"/>
          <w:sz w:val="18"/>
        </w:rPr>
        <w:t>Mackett K et al.  ·  Prim Care Diabetes  ·  22.09.2026  ·  PMID 42827072</w:t>
      </w:r>
    </w:p>
    <w:p>
      <w:r>
        <w:t>Retrospektive Querschnittsanalyse von 38.901 Personen aus dem kanadischen National Diabetes Repository zu Einhaltung der 2018-Diabetes-Canada-Leitlinien für kardiovaskuläre Prävention 2021–2022.</w:t>
      </w:r>
    </w:p>
    <w:p>
      <w:r>
        <w:rPr>
          <w:b/>
        </w:rPr>
        <w:t xml:space="preserve">Ergebnis: </w:t>
      </w:r>
      <w:r>
        <w:t>Nur 56 % mit Blutdruckmessung dokumentiert, 36 % mit Gewichtsmessung, 12 % mit HbA1c-Monitoring (Zielwert), 9 % mit Lipidmonitoring in 2022. 2 % wurden zu Ernährungsberatung überwiesen. Etwa 50 % bekamen kardioprotek­tive Medikamente (Statine); urbane Bevölkerung mit weniger Blutdruckmonitoring (adjustierte OR 0,49), männliche Personen häufiger mit Statinen (aOR 1,42). Ergebnisse 2021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(ähnliches Versicherungssystem wie Deutschland), zeigt versorgungspolitisches Implementierungs-Problem.</w:t>
      </w:r>
    </w:p>
    <w:p>
      <w:r>
        <w:rPr>
          <w:color w:val="5A7D3A"/>
          <w:sz w:val="18"/>
        </w:rPr>
        <w:t>https://pubmed.ncbi.nlm.nih.gov/42827072/</w:t>
      </w:r>
    </w:p>
    <w:p>
      <w:pPr>
        <w:pStyle w:val="Heading2"/>
      </w:pPr>
      <w:r>
        <w:t>Diabetische Nervenkompression: Screening-Algorithmus für Hausarztpraxen</w:t>
      </w:r>
    </w:p>
    <w:p>
      <w:r>
        <w:rPr>
          <w:i/>
          <w:color w:val="666666"/>
          <w:sz w:val="18"/>
        </w:rPr>
        <w:t>Rader A et al.  ·  Prim Care Diabetes  ·  02.10.2026  ·  PMID 42827071</w:t>
      </w:r>
    </w:p>
    <w:p>
      <w:r>
        <w:t>Systematische Review und Evidenzbewertung zu klinischer Erkennung und chirurgischen Dekompressionseffekten bei Nerveneinklemmung überlagert auf diabetischer Polyneuropathie, mit Algorithmus für Überweisungsentscheidungen.</w:t>
      </w:r>
    </w:p>
    <w:p>
      <w:r>
        <w:rPr>
          <w:b/>
        </w:rPr>
        <w:t xml:space="preserve">Ergebnis: </w:t>
      </w:r>
      <w:r>
        <w:t>Randomisierte und beobachtende Studien zeigen: Dekompression assoziiert mit Schmerzreduktion, Besserung sensibler Parameter und niedrigerer Ulkusrezidivrate in selektierten Patienten mit Einklemmungsmerkmalen. Klinischer Algorithmus mit Schritten: DPN-Bestätigung → Screening für Einklemmungszeichen → prognostische Marker → konservative Optimierung → Überweisungskriterien.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USA-Evidenz, Algorithmus adaptierbar für deutsche Primärversorgung und Spezialisierung.</w:t>
      </w:r>
    </w:p>
    <w:p>
      <w:r>
        <w:rPr>
          <w:color w:val="5A7D3A"/>
          <w:sz w:val="18"/>
        </w:rPr>
        <w:t>https://pubmed.ncbi.nlm.nih.gov/42827071/</w:t>
      </w:r>
    </w:p>
    <w:p>
      <w:pPr>
        <w:pStyle w:val="Heading2"/>
      </w:pPr>
      <w:r>
        <w:t>ADA/EASD-Leitlinie: Früher SGLT2i/GLP-1 zur Organprotektion bei Typ-2-Diabetes</w:t>
      </w:r>
    </w:p>
    <w:p>
      <w:r>
        <w:rPr>
          <w:i/>
          <w:color w:val="666666"/>
          <w:sz w:val="18"/>
        </w:rPr>
        <w:t>Davies MJ et al.  ·  Diabetologia  ·  02.10.2026  ·  PMID 42825923</w:t>
      </w:r>
    </w:p>
    <w:p>
      <w:r>
        <w:t>Konsensusupdate 2026 von American Diabetes Association und EASD zur Therapie des Typ-2-Diabetes empfiehlt frühere, potenziell ab Diagnose einsetzbare SGLT2-Inhibitoren und GLP-1-basierte Therapien für Organprotektion und verbesserte Langzeitergebnisse.</w:t>
      </w:r>
    </w:p>
    <w:p>
      <w:r>
        <w:rPr>
          <w:b/>
        </w:rPr>
        <w:t xml:space="preserve">Ergebnis: </w:t>
      </w:r>
      <w:r>
        <w:t>Systematische Literaturreview seit 2022 mit Fokusverschiebung von Hyperglykämiemanagement auf holistische Versorgung einschließlich Lebensstiländerungen, psychologischer Unterstützung und frühem Einsatz von SGLT2i/GLP-1-Therapeutika. Kombination beider Substanzklassen wird bei kardiovaskulären Erkrankungen, chronischer Nierenerkrankung und Herzinsuffizienz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Leitlinie für USA und Europa, direkt in DMP-Anpassung umsetzbar.</w:t>
      </w:r>
    </w:p>
    <w:p>
      <w:r>
        <w:rPr>
          <w:color w:val="5A7D3A"/>
          <w:sz w:val="18"/>
        </w:rPr>
        <w:t>https://pubmed.ncbi.nlm.nih.gov/42825923/</w:t>
      </w:r>
    </w:p>
    <w:p>
      <w:pPr>
        <w:pStyle w:val="Heading2"/>
      </w:pPr>
      <w:r>
        <w:t>Abdominales MRT verbessert Vorhersage von Typ-2-Diabetes-Inzidenz</w:t>
      </w:r>
    </w:p>
    <w:p>
      <w:r>
        <w:rPr>
          <w:i/>
          <w:color w:val="666666"/>
          <w:sz w:val="18"/>
        </w:rPr>
        <w:t>Peng R et al.  ·  Diabetes Metab Res Rev  ·  Okt. 2026  ·  PMID 42823755</w:t>
      </w:r>
    </w:p>
    <w:p>
      <w:r>
        <w:t>UK-Biobank-Studie (n=36.833) zu Verbesserung der Typ-2-Diabetes-Inzidenzvorhersage durch MRT-Phänotypen der Bauchorgane (Leber, Bauchfett, Pankreas) zusätzlich zu klinischen Risikoscores.</w:t>
      </w:r>
    </w:p>
    <w:p>
      <w:r>
        <w:rPr>
          <w:b/>
        </w:rPr>
        <w:t xml:space="preserve">Ergebnis: </w:t>
      </w:r>
      <w:r>
        <w:t>Nach Median 7,38 Jahren entwickelten 570 Probanden Typ-2-Diabetes. Vier MRT-Phänotypen (Leberfettanteil, Lebervolumen, Bauchfettvolumen, Pankreasvolumen) wurden mittels LASSO-Analyse selektiert. C-Index: Original-CDRS 0,765 (95%-KI 0,731–0,800) → klinisches CDRS-Modell 0,820 (0,786–0,849) → CDRS-MRI 0,849 (0,818–0,877). Verbesserung gegenüber Original um 0,084, gegenüber klinischem um 0,029; kontinuierliche NRI 56,2 % (95%-KI 40,6–70,0 %), IDI 0,022 (95%-KI 0,010–0,037).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Sekundärnutzung bestehender Daten, externe Validierung ausstehend.</w:t>
      </w:r>
    </w:p>
    <w:p>
      <w:r>
        <w:rPr>
          <w:color w:val="5A7D3A"/>
          <w:sz w:val="18"/>
        </w:rPr>
        <w:t>https://pubmed.ncbi.nlm.nih.gov/42823755/</w:t>
      </w:r>
    </w:p>
    <w:p>
      <w:pPr>
        <w:pStyle w:val="Heading2"/>
      </w:pPr>
      <w:r>
        <w:t>Semaglutid reduziert Nierenfibrose bei Typ-2-Diabetes und CKD</w:t>
      </w:r>
    </w:p>
    <w:p>
      <w:r>
        <w:rPr>
          <w:i/>
          <w:color w:val="666666"/>
          <w:sz w:val="18"/>
        </w:rPr>
        <w:t>Tuttle KR et al.  ·  Nat Med  ·  01.10.2026  ·  PMID 42823485</w:t>
      </w:r>
    </w:p>
    <w:p>
      <w:r>
        <w:t>Randomisierte 52-Wochen-Studie zu Mechanismen der Nierenschutzeffekte von Semaglutid (1 mg/Woche subkutan) versus Placebo bei Typ-2-Diabetes und chronischer Nierenerkrankung mit integrierten bildgebenden und molekularen Analysen.</w:t>
      </w:r>
    </w:p>
    <w:p>
      <w:r>
        <w:rPr>
          <w:b/>
        </w:rPr>
        <w:t xml:space="preserve">Ergebnis: </w:t>
      </w:r>
      <w:r>
        <w:t>Semaglutid reduzierte Nierenkranialresistivitätsindex signifikant und stabilisierte Wasserdiffusionskoeffizient (Marker für Fibrosischutz). Transkriptomanalysen zeigten Effekte auf glomeruläre Endothelzellen mit Reduktion proximaler Immunzellzahl. Koprimäre MRT-Outcomes (Oxygenierung, Perfusion, Inflammation) erreichten Signifikanz gegenüber Placebo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Nierenschutz-Mechanismen relevant für deutsche GLP-1-Indikationen.</w:t>
      </w:r>
    </w:p>
    <w:p>
      <w:r>
        <w:rPr>
          <w:color w:val="5A7D3A"/>
          <w:sz w:val="18"/>
        </w:rPr>
        <w:t>https://pubmed.ncbi.nlm.nih.gov/42823485/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