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21.09.2026  |  6 Studien  |  diabetes.m-vf.de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Tirzepatid vs. GLP-1-RA: niedrigeres Risiko für Parodontitis und Zahnverlust</w:t>
      </w:r>
    </w:p>
    <w:p>
      <w:r>
        <w:rPr>
          <w:i/>
          <w:color w:val="666666"/>
          <w:sz w:val="18"/>
        </w:rPr>
        <w:t>Tu CY et al.  ·  Diabetes Res Clin Pract  ·  20.09.2026  ·  PMID 42764072</w:t>
      </w:r>
    </w:p>
    <w:p>
      <w:r>
        <w:t>Retrospektive Kohortenstudie (TriNetX Global Network) zu Unterschieden oraler und parodontaler Outcomes zwischen Tirzepatid und GLP-1-Rezeptoragonisten bei Typ-2-Diabetes über ein Jahr.</w:t>
      </w:r>
    </w:p>
    <w:p>
      <w:r>
        <w:rPr>
          <w:b/>
        </w:rPr>
        <w:t xml:space="preserve">Ergebnis: </w:t>
      </w:r>
      <w:r>
        <w:t>Nach Propensity-Score-Matching je 97.993 Patienten pro Gruppe. Tirzepatid assoziiert mit niedrigerem Risiko für Mortalität (HR 0,69, 95%-KI 0,59–0,80), Parodontitis (0,70, 0,57–0,86), Zahnextraktion (0,89, 0,84–0,94), Peri-Implantat-Komplikationen (0,61, 0,52–0,70), parodontale Verfahren (0,89, 0,85–0,94), orale/oromax Infektionen (0,70, 0,62–0,79). Komposit-Outcome Mund/Parodont (0,87, 0,84–0,91).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USA-Versicherungsdaten, retrospektiv und mit Beobachtungslimitationen (Recording-Bias), aber Endpunkt Parodontitis-Assoziationen neu</w:t>
      </w:r>
    </w:p>
    <w:p>
      <w:r>
        <w:rPr>
          <w:color w:val="5A7D3A"/>
          <w:sz w:val="18"/>
        </w:rPr>
        <w:t>https://pubmed.ncbi.nlm.nih.gov/42764072/</w:t>
      </w:r>
    </w:p>
    <w:p>
      <w:pPr>
        <w:pStyle w:val="Heading2"/>
      </w:pPr>
      <w:r>
        <w:t>Glukose-6-Phosphat-Dehydrogenase-Mangel und Diabeteskomplikationen: Assoziation bestätigt</w:t>
      </w:r>
    </w:p>
    <w:p>
      <w:r>
        <w:rPr>
          <w:i/>
          <w:color w:val="666666"/>
          <w:sz w:val="18"/>
        </w:rPr>
        <w:t>Jan Sarhandi PZ et al.  ·  Diabetes Res Clin Pract  ·  19.09.2026  ·  PMID 42762922</w:t>
      </w:r>
    </w:p>
    <w:p>
      <w:r>
        <w:t>Systematische Übersichtsarbeit (42 Studien, Suche bis August 2026) zu Zusammenhang zwischen G6PD-Mangel und Typ-2-Diabetes sowie Diabeteskomplikationen.</w:t>
      </w:r>
    </w:p>
    <w:p>
      <w:r>
        <w:rPr>
          <w:b/>
        </w:rPr>
        <w:t xml:space="preserve">Ergebnis: </w:t>
      </w:r>
      <w:r>
        <w:t>G6PD-Mangel häufiger in Typ-2-Diabetes-Patienten als Allgemeinbevölkerung. Diagnostische Komplikationen: künstlich erniedrigtes HbA1c. Spezifische G6PD-Varianten mit erhöhtem Risiko und Schweregrad der diabetischen Retinopathie assoziiert. G6PD-Mangel verlinkt mit erhöhtem Myokardinfarkt-, Schlaganfall- und arterieller Steifheit-Risiko. Konsistente Evidenz für höheres Komplikationsrisiko; Assoziationen mit Diabetes-Onset inkonsistent.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G6PD-Screening bei Diabetes in Deutschland nicht Standard, aber Befund relevant für Diagnostik-Interpretation bei betroffenen Populationen</w:t>
      </w:r>
    </w:p>
    <w:p>
      <w:r>
        <w:rPr>
          <w:color w:val="5A7D3A"/>
          <w:sz w:val="18"/>
        </w:rPr>
        <w:t>https://pubmed.ncbi.nlm.nih.gov/42762922/</w:t>
      </w:r>
    </w:p>
    <w:p>
      <w:pPr>
        <w:pStyle w:val="Heading2"/>
      </w:pPr>
      <w:r>
        <w:t>MiniMed 780G: Stabile glycämische Kontrolle über 24 Monate in Lateinamerika</w:t>
      </w:r>
    </w:p>
    <w:p>
      <w:r>
        <w:rPr>
          <w:i/>
          <w:color w:val="666666"/>
          <w:sz w:val="18"/>
        </w:rPr>
        <w:t>Castro M et al.  ·  Diabetes Technol Ther  ·  19.09.2026  ·  PMID 42762173</w:t>
      </w:r>
    </w:p>
    <w:p>
      <w:r>
        <w:t>Reale Daten von über 16.000 Typ-1-Diabetes-Patienten, die das automatisierte Insulinabgabesystem MiniMed 780G in 18 lateinamerikanischen Ländern über bis zu 24 Monate nutzten.</w:t>
      </w:r>
    </w:p>
    <w:p>
      <w:r>
        <w:rPr>
          <w:b/>
        </w:rPr>
        <w:t xml:space="preserve">Ergebnis: </w:t>
      </w:r>
      <w:r>
        <w:t>Zeit im Zielbereich (TIR) 73,4 % gesamt, Glukose-Managementindikator (GMI) 6,9 %. Mit empfohlenen optimalen Einstellungen (n=19,2 %): TIR 77,5 %, 83,9 % erreichten &gt; 70 % TIR, 66,4 % erreichten Komposit-Zielwert. Pädiatrische Patienten: TIR 70,0 % (74,2 % mit optimalen Einstellungen). Ergebnisse stabil über 24 Monate, unabhängig von Geschlecht, Land und 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international vergleichbar, aber unterschiedliche Gesundheitssysteme; Techniktransfer relevant für Deutschland</w:t>
      </w:r>
    </w:p>
    <w:p>
      <w:r>
        <w:rPr>
          <w:color w:val="5A7D3A"/>
          <w:sz w:val="18"/>
        </w:rPr>
        <w:t>https://pubmed.ncbi.nlm.nih.gov/42762173/</w:t>
      </w:r>
    </w:p>
    <w:p>
      <w:pPr>
        <w:pStyle w:val="Heading2"/>
      </w:pPr>
      <w:r>
        <w:t>Kontinuierliche Glukosemessung mit GLP-1-Agonisten: 68,4 % Therapieadhärenz nach 12 Monaten</w:t>
      </w:r>
    </w:p>
    <w:p>
      <w:r>
        <w:rPr>
          <w:i/>
          <w:color w:val="666666"/>
          <w:sz w:val="18"/>
        </w:rPr>
        <w:t>Wright EE Jr et al.  ·  Diabetes Technol Ther  ·  19.09.2026  ·  PMID 42762166</w:t>
      </w:r>
    </w:p>
    <w:p>
      <w:r>
        <w:t>Retrospektive Matched-Cohort-Analyse von Verwaltungsdaten aus USA: Adhärente CGM-Nutzung und Therapieadhärenz mit GLP-1-Rezeptoragonisten bei Typ-2-Diabetes.</w:t>
      </w:r>
    </w:p>
    <w:p>
      <w:r>
        <w:rPr>
          <w:b/>
        </w:rPr>
        <w:t xml:space="preserve">Ergebnis: </w:t>
      </w:r>
      <w:r>
        <w:t>Von 934 CGM-Nutzern (PDC ≥ 0,8) verblieben 68,4 % nach 12 Monaten auf GLP-1-RA vs. 51,9 % ohne CGM (p &lt; 0,001). Nach Adjustierung: Hazard Ratio für Absetzen 0,56 (95%-KI 0,49–0,63; p &lt; 0,001). CGM-Adhärenz senkt GLP-1-Abbruch um 44 %.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USA-Verwaltungsdaten, aber Adhärenzphänomen übertragbar; Versorgungsdaten zu CGM und Therapietreue relevant für DMP-Ausgestaltung</w:t>
      </w:r>
    </w:p>
    <w:p>
      <w:r>
        <w:rPr>
          <w:color w:val="5A7D3A"/>
          <w:sz w:val="18"/>
        </w:rPr>
        <w:t>https://pubmed.ncbi.nlm.nih.gov/42762166/</w:t>
      </w:r>
    </w:p>
    <w:p>
      <w:pPr>
        <w:pStyle w:val="Heading2"/>
      </w:pPr>
      <w:r>
        <w:t>Menopause-Hormontherapie und Typ-2-Diabetes: kleine therapeutische Effekte</w:t>
      </w:r>
    </w:p>
    <w:p>
      <w:r>
        <w:rPr>
          <w:i/>
          <w:color w:val="666666"/>
          <w:sz w:val="18"/>
        </w:rPr>
        <w:t>Liang C et al.  ·  Diabetologia  ·  18.09.2026  ·  PMID 42758305</w:t>
      </w:r>
    </w:p>
    <w:p>
      <w:r>
        <w:t>Systematische Übersichtsarbeit und Metaanalyse (49 Artikel, 15 Länder) zur Wirkung von Menopausen-Hormontherapie (MHT) auf Glukosemetabolismus und Typ-2-Diabetes-Risiko bei Frauen.</w:t>
      </w:r>
    </w:p>
    <w:p>
      <w:r>
        <w:rPr>
          <w:b/>
        </w:rPr>
        <w:t xml:space="preserve">Ergebnis: </w:t>
      </w:r>
      <w:r>
        <w:t>Ohne Typ-2-Diabetes: MHT assoziiert mit Senkung Fasten-Insulin −5,90 pmol/l (11 Studien, n=4.262, hochgradige Evidenz) und HOMA-IR −0,21 (4 Studien, n=2.883, moderate Evidenz); Diabetes-Risiko-Ratio 0,83 (14 Studien, n=1.450.134, sehr niedrige Evidenz). Mit Typ-2-Diabetes: Fasten-Glukose −1,07 mmol/l (16 Studien, n=1.379), HbA1c −5,47 mmol/mol (−0,50 %; 17 Studien, n=15.720). Effektgrößen zu klein für klinische Relevanz; Evidenzgrad durchweg niedrig bis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15 Länder, aber überwiegend RCT mit hohem Bias-Risiko; Fragestellung hormonabhängig, nicht übertragbarkeitsabhängig</w:t>
      </w:r>
    </w:p>
    <w:p>
      <w:r>
        <w:rPr>
          <w:color w:val="5A7D3A"/>
          <w:sz w:val="18"/>
        </w:rPr>
        <w:t>https://pubmed.ncbi.nlm.nih.gov/42758305/</w:t>
      </w:r>
    </w:p>
    <w:p>
      <w:pPr>
        <w:pStyle w:val="Heading2"/>
      </w:pPr>
      <w:r>
        <w:t>BGM0504-Dual-GLP-1/GIP Receptor Agonist: Dose-abhängige Gewichtsreduktion bis 18,33 %</w:t>
      </w:r>
    </w:p>
    <w:p>
      <w:r>
        <w:rPr>
          <w:i/>
          <w:color w:val="666666"/>
          <w:sz w:val="18"/>
        </w:rPr>
        <w:t>Ji L et al.  ·  Diabetes Obes Metab  ·  17.09.2026  ·  PMID 42755112</w:t>
      </w:r>
    </w:p>
    <w:p>
      <w:r>
        <w:t>Randomisierte Phase-2-Studie der Wirksamkeit und Sicherheit des dualen GLP-1/GIP-Rezeptoragonisten BGM0504 bei chinesischen Erwachsenen mit Übergewicht/Adipositas ohne Diabetes über 24 Wochen.</w:t>
      </w:r>
    </w:p>
    <w:p>
      <w:r>
        <w:rPr>
          <w:b/>
        </w:rPr>
        <w:t xml:space="preserve">Ergebnis: </w:t>
      </w:r>
      <w:r>
        <w:t>BGM0504 führte zu Gewichtsabnahmen von −10,68 % (5 mg), −16,07 % (10 mg) und −18,33 % (15 mg) vs. +0,13 % unter Placebo (p &lt; 0,0001 alle Dosen). Dosisabhängige Verbesserung mit 83,9 % der Patienten in der 15-mg-Gruppe erreichten &gt; 70 % Gewichtsverlust. Gastrointestinale Nebenwirkungen waren häufig (93,1 % mit 15 mg vs. 40 % Placebo), ein ernstes Unerwünschtes Ereignis unter 10 mg, keine Abbrüche wegen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Phase-2-Daten zu neuer Substanzklasse, noch nicht zur Kostenbewertung in Deutschland verfügbar</w:t>
      </w:r>
    </w:p>
    <w:p>
      <w:r>
        <w:rPr>
          <w:color w:val="5A7D3A"/>
          <w:sz w:val="18"/>
        </w:rPr>
        <w:t>https://pubmed.ncbi.nlm.nih.gov/42755112/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