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28.09.2026  |  7 Studien  |  diabetes.m-vf.de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LADA wird häufig als Typ-2-Diabetes fehldiagnostiziert, zeigt aber unterschiedliche Verlaufsmuster</w:t>
      </w:r>
    </w:p>
    <w:p>
      <w:r>
        <w:rPr>
          <w:i/>
          <w:color w:val="666666"/>
          <w:sz w:val="18"/>
        </w:rPr>
        <w:t>Luksameejaroenchai C et al.  ·  J Diabetes Investig  ·  25.09.2026  ·  PMID 42789021</w:t>
      </w:r>
    </w:p>
    <w:p>
      <w:r>
        <w:t>Eine retrospektive Kohortenstudie verglich klinische Merkmale und Krankheitsverlauf von typischem adultem Typ-1-Diabetes und insulinabhängiger LADA in Thailand.</w:t>
      </w:r>
    </w:p>
    <w:p>
      <w:r>
        <w:rPr>
          <w:b/>
        </w:rPr>
        <w:t xml:space="preserve">Ergebnis: </w:t>
      </w:r>
      <w:r>
        <w:t>Von 84 Patienten (≥30 Jahre bei Diagnose) hatten 32 Typ-1-Diabetes und 52 LADA. Diabetische Ketoazidose (DKA) war Erstmanifestation bei 76,7% des Typ-1-Diabetes, aber nur 2,6% der LADA. Fast 70% der LADA-Patienten wurden initial als Typ-2-Diabetes fehldiagnostiziert und erst nach 7,6 Jahren korrekt klassifiziert. Bei Follow-up zeigten LADA-Patienten signifikant höhere systolische Blutdruck-, HbA1c- und Insulinresistenzwerte sowie höhere Inzidenz rezidivierender DKA als Typ-1-Diabetes.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Thailand, ähnliche Diagnostikherausforderung wie in Europa; Versorgungsproblem: späte Diagnose mit Therapiekonsequenzen.</w:t>
      </w:r>
    </w:p>
    <w:p>
      <w:r>
        <w:rPr>
          <w:color w:val="5A7D3A"/>
          <w:sz w:val="18"/>
        </w:rPr>
        <w:t>https://pubmed.ncbi.nlm.nih.gov/42789021/</w:t>
      </w:r>
    </w:p>
    <w:p>
      <w:pPr>
        <w:pStyle w:val="Heading2"/>
      </w:pPr>
      <w:r>
        <w:t>Bewegung reduziert Typ-2-Diabetes-Risiko über koordinierte Protein-Netzwerke</w:t>
      </w:r>
    </w:p>
    <w:p>
      <w:r>
        <w:rPr>
          <w:i/>
          <w:color w:val="666666"/>
          <w:sz w:val="18"/>
        </w:rPr>
        <w:t>Wang Z et al.  ·  Cardiovasc Diabetol  ·  09.09.2026  ·  PMID 42778924</w:t>
      </w:r>
    </w:p>
    <w:p>
      <w:r>
        <w:t>Eine UK-Biobank-Studie untersuchte, welche Blutproteine den Schutzeffekt von moderater bis kräftiger körperlicher Aktivität gegen Typ-2-Diabetes vermitteln.</w:t>
      </w:r>
    </w:p>
    <w:p>
      <w:r>
        <w:rPr>
          <w:b/>
        </w:rPr>
        <w:t xml:space="preserve">Ergebnis: </w:t>
      </w:r>
      <w:r>
        <w:t>Bei 28.842 Personen ohne Diabetes entwickelten 1.225 über 13,6 Jahre einen Diabetes. Leitliniengerechte körperliche Aktivität (≥600 MET-Minuten/Woche) war mit 650 unterschiedlich regulierten Plasma-Proteinen und reduziertem Diabetes-Risiko assoziiert. Das CKB-IGFBP2-Modul war positiv mit Aktivität und genetisch mit niedrigerem Risiko verknüpft (OR 0,57, 95%-KI 0,43–0,77); das RIDA-PCBD1-Modul zeigte inverse Assoziationen (OR 1,54, 95%-KI 1,13–2,09). Diese zwei Protein-Module erfassten eindeutige biologische Funktionen besser als Einzelprotein-Analysen.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Grundlagenforschung aus etablierter Kohorte, Mechanismusaufklärung für Bewegungsschutz.</w:t>
      </w:r>
    </w:p>
    <w:p>
      <w:r>
        <w:rPr>
          <w:color w:val="5A7D3A"/>
          <w:sz w:val="18"/>
        </w:rPr>
        <w:t>https://pubmed.ncbi.nlm.nih.gov/42778924/</w:t>
      </w:r>
    </w:p>
    <w:p>
      <w:pPr>
        <w:pStyle w:val="Heading2"/>
      </w:pPr>
      <w:r>
        <w:t>CGM-Genauigkeit auf Intensivstation: Akzeptabel in Ruhe, kritisch bei schnellen Glukoseschwankungen</w:t>
      </w:r>
    </w:p>
    <w:p>
      <w:r>
        <w:rPr>
          <w:i/>
          <w:color w:val="666666"/>
          <w:sz w:val="18"/>
        </w:rPr>
        <w:t>Seret M et al.  ·  J Diabetes Sci Technol  ·  21.09.2026  ·  PMID 42765166</w:t>
      </w:r>
    </w:p>
    <w:p>
      <w:r>
        <w:t>Eine prospektive Beobachtungsstudie verglich Dexcom G7 mit arteriellen Blutglukosemessungen bei 20 kritisch kranken Patienten ohne bekannten Diabetes über 10 ICU-Tage, auch unter intravenösem Glukosetoleranztest.</w:t>
      </w:r>
    </w:p>
    <w:p>
      <w:r>
        <w:rPr>
          <w:b/>
        </w:rPr>
        <w:t xml:space="preserve">Ergebnis: </w:t>
      </w:r>
      <w:r>
        <w:t>In stabilen Phasen: R²=0,58, mittlerer Bias +11 mg/dL, MARD 17%, 98,9% Clarke-Fehler Zone A/B. Bei schnellen Glukoseschwankungen (IVGTT): R²=0,03, Bias −34 mg/dL, MARD 24%, nur 80,3% A/B, 18,6% in Zone D (kritisch). Nach zeitlicher Verschiebung um 20 min: R²=0,34, MARD 19%, 94,7% A/B. Keine Sensor-Nebenwirkungen.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Belgien/Europa, ICU-Setting; zeigt Hybrid-Überwachung (CGM + Blutglukose) bei kritisch Kranken notwendig.</w:t>
      </w:r>
    </w:p>
    <w:p>
      <w:r>
        <w:rPr>
          <w:color w:val="5A7D3A"/>
          <w:sz w:val="18"/>
        </w:rPr>
        <w:t>https://pubmed.ncbi.nlm.nih.gov/42765166/</w:t>
      </w:r>
    </w:p>
    <w:p>
      <w:pPr>
        <w:pStyle w:val="Heading2"/>
      </w:pPr>
      <w:r>
        <w:t>OTC-CGM ohne Diabetes: Moderater Trend-Trend, schwache Exact-Value-Genauigkeit bei Kohlenhydraten</w:t>
      </w:r>
    </w:p>
    <w:p>
      <w:r>
        <w:rPr>
          <w:i/>
          <w:color w:val="666666"/>
          <w:sz w:val="18"/>
        </w:rPr>
        <w:t>Prakash N et al.  ·  J Diabetes Sci Technol  ·  20.09.2026  ·  PMID 42764665</w:t>
      </w:r>
    </w:p>
    <w:p>
      <w:r>
        <w:t>Eine prospektive Beobachtungsstudie evaluierte die Genauigkeit von frei verkäuflichen CGM-Systemen bei 39 Erwachsenen ohne Diabetes unter variablen Bedingungen (Ruhe/Bewegung, Plazebo/Zucker).</w:t>
      </w:r>
    </w:p>
    <w:p>
      <w:r>
        <w:rPr>
          <w:b/>
        </w:rPr>
        <w:t xml:space="preserve">Ergebnis: </w:t>
      </w:r>
      <w:r>
        <w:t>Gesamt-MARD 12,9%, Bias −4,8 mg/dL, Übereinstimmung innerhalb 15%/15 mg/dL: 66,5%. Unter Zuckerkonsum deutlich schlechter (MARD 15,3% vs 10,6% unter Plazebo, p&lt;0,01). Bewegung zeigte kein konsistentes Effekt. Lag zwischen CGM und Referenz ca. 6 Minuten. Interindividuelle Unterschiede erheblich, 13,8% der CGM-Richtungs-Pfeile waren als mittleres bis extremes Risiko klassifiziert. OTC-CGM eignen sich zur Trendbeobachtung, nicht zur Schwellenwert-Diagnose (z.B. Hypoglykämie-Erkennung).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aber Sicherheitsbefund (limitierte Genauigkeit) ist universal relevant, Platzierungsempfehlungen für Deutschland.</w:t>
      </w:r>
    </w:p>
    <w:p>
      <w:r>
        <w:rPr>
          <w:color w:val="5A7D3A"/>
          <w:sz w:val="18"/>
        </w:rPr>
        <w:t>https://pubmed.ncbi.nlm.nih.gov/42764665/</w:t>
      </w:r>
    </w:p>
    <w:p>
      <w:pPr>
        <w:pStyle w:val="Heading2"/>
      </w:pPr>
      <w:r>
        <w:t>Typ-2-Diabetes zeigt keine klinisch relevante exokrine Pankreasatrophie</w:t>
      </w:r>
    </w:p>
    <w:p>
      <w:r>
        <w:rPr>
          <w:i/>
          <w:color w:val="666666"/>
          <w:sz w:val="18"/>
        </w:rPr>
        <w:t>Cigarran B et al.  ·  Diabetes Res Clin Pract  ·  19.09.2026  ·  PMID 42762921</w:t>
      </w:r>
    </w:p>
    <w:p>
      <w:r>
        <w:t>Eine prospektive Multimodal-Studie in zwei spanischen Universitätskliniken verglich endosonografische Befunde, Pankreasstruktur, Elastografie und exokrine Funktion zwischen Typ-2-Diabetes-Patienten und Kontrollen ohne Pankreaserkrankung.</w:t>
      </w:r>
    </w:p>
    <w:p>
      <w:r>
        <w:rPr>
          <w:b/>
        </w:rPr>
        <w:t xml:space="preserve">Ergebnis: </w:t>
      </w:r>
      <w:r>
        <w:t>57 Typ-2-Diabetes-Patienten und 53 Kontrollen wurden untersucht. Endosonografische Abnormitäten waren ähnlich (2,16±1,97 vs 1,77±2,02, p=0,186), ebenso Pankreaskörperdurchmesser, Elastografie, fäkale Elastase-1 und Ernährungsmarker. Niedrige Elastase (&lt;200 µg/g) trat nicht häufiger bei Typ-2-Diabetes auf (10,9% vs 18,0%, p=n.s.). Ein chronisch-pankreatitis-ähnliches Phänotyp war nicht vorhanden.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Gesundheitssystem; klinisch relevant: widerlegt die Hypothese exokriner Dysfunktion bei Typ-2-Diabetes.</w:t>
      </w:r>
    </w:p>
    <w:p>
      <w:r>
        <w:rPr>
          <w:color w:val="5A7D3A"/>
          <w:sz w:val="18"/>
        </w:rPr>
        <w:t>https://pubmed.ncbi.nlm.nih.gov/42762921/</w:t>
      </w:r>
    </w:p>
    <w:p>
      <w:pPr>
        <w:pStyle w:val="Heading2"/>
      </w:pPr>
      <w:r>
        <w:t>SGLT2-Inhibitoren perioperativ: Abwägung zwischen Ketoazidose-Risiko und Organ-Schutz</w:t>
      </w:r>
    </w:p>
    <w:p>
      <w:r>
        <w:rPr>
          <w:i/>
          <w:color w:val="666666"/>
          <w:sz w:val="18"/>
        </w:rPr>
        <w:t>Ji K et al.  ·  Diabetes Metab  ·  18.09.2026  ·  PMID 42759692</w:t>
      </w:r>
    </w:p>
    <w:p>
      <w:r>
        <w:t>Eine Übersichtsarbeit analysierte die perioperative Risiko-Nutzen-Balance von SGLT2-Inhibitoren und entwickelte ein Managementrahmenwerk zur Risikostratifizierung.</w:t>
      </w:r>
    </w:p>
    <w:p>
      <w:r>
        <w:rPr>
          <w:b/>
        </w:rPr>
        <w:t xml:space="preserve">Ergebnis: </w:t>
      </w:r>
      <w:r>
        <w:t>Aktuelle Leitlinien empfehlen 3–4 Tage präoperative Pausierung. Neue Evidenz zeigt aber: Das Absetzen ist mit erhöhtem akuten Nierenschaden- und Mortalitätsrisiko assoziiert (Beobachtungsstudien), während unzureichendes Absetzen euglykämische Ketoazidose auslöst. Die Pausierungsdauer sollte stratifiziert nach Indikation (Herz-/Nierenerkrankung vs. reiner Glukosekontrolle), HbA1c, Insulinabhängigkeit, Nierenfunktion, Infektionsstatus, OP-Invasivität und Monitoring-Kapazität erfolgen. Low-Risk-Patienten (Herz-/Nierenerkrankung, stabile Funktion) profitieren eher von Weiterführung.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China; praxisrelevant für perioperatives Management von SGLT2-Inhibitoren-Patienten.</w:t>
      </w:r>
    </w:p>
    <w:p>
      <w:r>
        <w:rPr>
          <w:color w:val="5A7D3A"/>
          <w:sz w:val="18"/>
        </w:rPr>
        <w:t>https://pubmed.ncbi.nlm.nih.gov/42759692/</w:t>
      </w:r>
    </w:p>
    <w:p>
      <w:pPr>
        <w:pStyle w:val="Heading2"/>
      </w:pPr>
      <w:r>
        <w:t>Wirtsgen-Expression, nicht Mikrobiom, vorhersagt Diabetes-Fußgeschwür-Heilung</w:t>
      </w:r>
    </w:p>
    <w:p>
      <w:r>
        <w:rPr>
          <w:i/>
          <w:color w:val="666666"/>
          <w:sz w:val="18"/>
        </w:rPr>
        <w:t>Lou J et al.  ·  Endocrine  ·  15.08.2026  ·  PMID 42603246</w:t>
      </w:r>
    </w:p>
    <w:p>
      <w:r>
        <w:t>Eine sekundäre Metaanalyse von acht öffentlichen Datensätzen integrierte Mikrobiom- und Wirtsgen-Expressionsdaten zur Identifikation von Heilungsprädiktoren des diabetischen Fußgeschwürs.</w:t>
      </w:r>
    </w:p>
    <w:p>
      <w:r>
        <w:rPr>
          <w:b/>
        </w:rPr>
        <w:t xml:space="preserve">Ergebnis: </w:t>
      </w:r>
      <w:r>
        <w:t>Baseline-Diversität und Mikrobiom-Struktur unterschieden sich nicht zwischen geheilten (n=74) und nicht geheilten (n=15) Geschwüren (Shannon p=0,159, PERMANOVA p=0,142). Wirtsgen-Expression zeigte starke Diskriminanzleistung (Leave-One-Out AUC 0,990, 95%-KI 0,964–1,000; wiederholte CV-Median-AUC 0,981, Permutations-p=0,00995). 2.873 differenziell exprimierte Gene zeigten kohärente epidermale Reparatur-Anreicherung. Die Autoren betonen: Mikrobiom-Befunde bleiben explorativ, es wurde kein klinisch einsetzbarer Biomarker oder kausale Kopplung demonstriert.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Deutschland/Tunesien, Grundlagenforschung; zeigt Wirtsgen-Expression als vielversprechend, aber noch nicht klinisch einsatzreif.</w:t>
      </w:r>
    </w:p>
    <w:p>
      <w:r>
        <w:rPr>
          <w:color w:val="5A7D3A"/>
          <w:sz w:val="18"/>
        </w:rPr>
        <w:t>https://pubmed.ncbi.nlm.nih.gov/42603246/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