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13.09.2026  |  6 Studien  |  diabetes.m-vf.de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Epigenetische Modulation der Ernährungs-Diabetes-Assoziation: DNA-Methylierung stärker als Genetik</w:t>
      </w:r>
    </w:p>
    <w:p>
      <w:r>
        <w:rPr>
          <w:i/>
          <w:color w:val="666666"/>
          <w:sz w:val="18"/>
        </w:rPr>
        <w:t>El-Khoury C et al.  ·  Cardiovasc Diabetol  ·  11.09.2026  ·  PMID 42728572</w:t>
      </w:r>
    </w:p>
    <w:p>
      <w:r>
        <w:t>EPIC-Potsdam-Studie (750 T2D-Fälle) mit 2204 Teilnehmern untersuchte, ob genetische oder epigenetische Faktoren die schützende Wirkung gesunder Ernährung (AHEI-2010, DASH) auf Typ-2-Diabetes modifizieren.</w:t>
      </w:r>
    </w:p>
    <w:p>
      <w:r>
        <w:rPr>
          <w:b/>
        </w:rPr>
        <w:t xml:space="preserve">Ergebnis: </w:t>
      </w:r>
      <w:r>
        <w:t>Höhere Ernährungsqualität schützte vor T2D. Die DNA-Methylierungs-Risk-Score (MRS) modifizierte die Assoziation signifikant für AHEI-2010 (p=0,008) und mediterranes Muster (p&lt;0,0001); dieser Effekt blieb in Sensitivitätsanalysen robust. Ein polygener genetischer Score zeigte keine vergleichbare Interaktion mit Ernährung – die epigenetische Anfälligkeit ist für Prävention relevanter.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prospektive Kohortendaten, strukturiertes DMP-Setting übertragbar</w:t>
      </w:r>
    </w:p>
    <w:p>
      <w:r>
        <w:rPr>
          <w:color w:val="5A7D3A"/>
          <w:sz w:val="18"/>
        </w:rPr>
        <w:t>https://pubmed.ncbi.nlm.nih.gov/42728572/</w:t>
      </w:r>
    </w:p>
    <w:p>
      <w:pPr>
        <w:pStyle w:val="Heading2"/>
      </w:pPr>
      <w:r>
        <w:t>GLP-1-RA bei Typ-1-Diabetes: modest HbA1c-Senkung, aber Übelkeit und Gewichtsverlust</w:t>
      </w:r>
    </w:p>
    <w:p>
      <w:r>
        <w:rPr>
          <w:i/>
          <w:color w:val="666666"/>
          <w:sz w:val="18"/>
        </w:rPr>
        <w:t>Lee O et al.  ·  Diabetes Obes Metab  ·  10.09.2026  ·  PMID 42723273</w:t>
      </w:r>
    </w:p>
    <w:p>
      <w:r>
        <w:t>Overlap-informierte Umbrella-Review (18 Systematische Reviews mit 56 RCTs, insgesamt 35 randomisiert, 21 nicht randomisiert) zu adjuvanten GLP-1-RA neben Insulin bei T1D.</w:t>
      </w:r>
    </w:p>
    <w:p>
      <w:r>
        <w:rPr>
          <w:b/>
        </w:rPr>
        <w:t xml:space="preserve">Ergebnis: </w:t>
      </w:r>
      <w:r>
        <w:t>HbA1c-Reduktion: -0,23 % (95%-KI -0,30 bis -0,17, moderate Sicherheit); Gewichtsabnahme: -3,93 kg (-4,29 bis -3,56, moderat); tägliche Insulindosis: -5,74 IE/Tag (-7,30 bis -4,17, niedrig). Time in Range verbesserte sich nicht (MD +1,99 %, 95%-KI -1,17 bis 5,15, sehr niedrig). Schwere Hypoglykämie: RR 0,83 (0,36–1,91, niedrig). DKA: RR 0,67 (0,16–2,86, niedrig). Übelkeit RR 2,88 (2,20–3,76, hoch), Erbrechen RR 3,11 (1,94–4,97, hoch), Abbruch wegen Nebenwirkungen RR 2,10 (1,42–3,12,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T1D-spezifisch, in Deutschland nicht im DMP vorgesehen</w:t>
      </w:r>
    </w:p>
    <w:p>
      <w:r>
        <w:rPr>
          <w:color w:val="5A7D3A"/>
          <w:sz w:val="18"/>
        </w:rPr>
        <w:t>https://pubmed.ncbi.nlm.nih.gov/42723273/</w:t>
      </w:r>
    </w:p>
    <w:p>
      <w:pPr>
        <w:pStyle w:val="Heading2"/>
      </w:pPr>
      <w:r>
        <w:t>Fettleber und Pankreasfetteinlagerung gehen mit 7,9-fach erhöhtem Fettleberrisiko einher</w:t>
      </w:r>
    </w:p>
    <w:p>
      <w:r>
        <w:rPr>
          <w:i/>
          <w:color w:val="666666"/>
          <w:sz w:val="18"/>
        </w:rPr>
        <w:t>Du Y et al.  ·  Diabetes Res Clin Pract  ·  10.09.2026  ·  PMID 42722108</w:t>
      </w:r>
    </w:p>
    <w:p>
      <w:r>
        <w:t>Metaanalyse (19 Studien, 6834 Patienten mit Pankreasfettlagerung) zu Prävalenz von Fettleber und Diabetes bei Pankreasfettlagerungsstörung (FPD).</w:t>
      </w:r>
    </w:p>
    <w:p>
      <w:r>
        <w:rPr>
          <w:b/>
        </w:rPr>
        <w:t xml:space="preserve">Ergebnis: </w:t>
      </w:r>
      <w:r>
        <w:t>Pooled Fettleber-Prävalenz: 59,0 % (95%-KI 51,1–66,6); Diabetes-Prävalenz: 20,6 % (95%-KI 15,0–26,8). MRI/MRS-Studien berichten höhere Raten (76,5 % Fettleber, 27,7 % Diabetes). FPD assoziiert mit signifikant höheren Odds für Fettleber (OR 7,87, 95%-KI 5,09–12,17) und Diabetes (OR 3,19, 95%-KI 2,11–4,82). Gewichtsverlust bleibt zentrale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Daten, China-dominiert, Screening-Algorithmen Deutschland-angepasst machbar</w:t>
      </w:r>
    </w:p>
    <w:p>
      <w:r>
        <w:rPr>
          <w:color w:val="5A7D3A"/>
          <w:sz w:val="18"/>
        </w:rPr>
        <w:t>https://pubmed.ncbi.nlm.nih.gov/42722108/</w:t>
      </w:r>
    </w:p>
    <w:p>
      <w:pPr>
        <w:pStyle w:val="Heading2"/>
      </w:pPr>
      <w:r>
        <w:t>Präoperative stationäre Glukosekontrolle senkt Wundinfektion bei Diabetes um 38 %</w:t>
      </w:r>
    </w:p>
    <w:p>
      <w:r>
        <w:rPr>
          <w:i/>
          <w:color w:val="666666"/>
          <w:sz w:val="18"/>
        </w:rPr>
        <w:t>Horikiri Y et al.  ·  J Diabetes Investig  ·  10.09.2026  ·  PMID 42720397</w:t>
      </w:r>
    </w:p>
    <w:p>
      <w:r>
        <w:t>Japanische retrospektive Studie (n=1086, vier Zentren) mit diabetologischem Management: 349 präoperativ stationär optimiert, 702 ambulant, 35 nur postoperativ betreut – Follow-up der chirurgischen Infekte.</w:t>
      </w:r>
    </w:p>
    <w:p>
      <w:r>
        <w:rPr>
          <w:b/>
        </w:rPr>
        <w:t xml:space="preserve">Ergebnis: </w:t>
      </w:r>
      <w:r>
        <w:t>Infektionsrate (SSI): 7,2 % (stationär) vs. 11,1 % (ambulant) vs. 20,0 % (nur postoperativ); p=0,020. Adjustiertes OR für stationäre Optimierung: 0,62 (95%-KI 0,39–0,99, p=0,044). Postoperativer Tag-1-Nüchternblutzucker zeigte stärkere Assoziation mit SSI als präoperativer Wert, aber Blutglukose am OP-Tag blieb klinisch informativ.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Klinik-Daten, deutsches Klinik-Setting bedingt übertragbar</w:t>
      </w:r>
    </w:p>
    <w:p>
      <w:r>
        <w:rPr>
          <w:color w:val="5A7D3A"/>
          <w:sz w:val="18"/>
        </w:rPr>
        <w:t>https://pubmed.ncbi.nlm.nih.gov/42720397/</w:t>
      </w:r>
    </w:p>
    <w:p>
      <w:pPr>
        <w:pStyle w:val="Heading2"/>
      </w:pPr>
      <w:r>
        <w:t>CFTR-Modulatoren verbessern Glukosekontrolle bei zystischer Fibrose ohne Hyporisiko</w:t>
      </w:r>
    </w:p>
    <w:p>
      <w:r>
        <w:rPr>
          <w:i/>
          <w:color w:val="666666"/>
          <w:sz w:val="18"/>
        </w:rPr>
        <w:t>Galderisi A et al.  ·  J Clin Endocrinol Metab  ·  31.08.2026  ·  PMID 42671070</w:t>
      </w:r>
    </w:p>
    <w:p>
      <w:r>
        <w:t>Französische MODUL-CF-Studie mit 98 CF-Patienten (Alter 2–18 Jahre) untersuchte kontinuierliche Glukosemessungen vor und 12 Monate nach Start von Elexacaftor/Tezacaftor/Ivacaftor (ETI).</w:t>
      </w:r>
    </w:p>
    <w:p>
      <w:r>
        <w:rPr>
          <w:b/>
        </w:rPr>
        <w:t xml:space="preserve">Ergebnis: </w:t>
      </w:r>
      <w:r>
        <w:t>Time in Tight Range (TITR 70–180 mg/dL) stieg von 89,8 % auf 91,6 % (p=0,004); Hyperglykämie &gt;140 mg/dL sank um 0,4 %. Variabilität sank (CV 21,5 % → 19,6 %, p&lt;0,001). Keine DKA oder schwere Hypoglykämie. Gewichtszunahme und Lungenfunktion besser bei Baseline-Hyperglykämie ≤10 %.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 Kinderkliniken, seltenes Spezial-Setting</w:t>
      </w:r>
    </w:p>
    <w:p>
      <w:r>
        <w:rPr>
          <w:color w:val="5A7D3A"/>
          <w:sz w:val="18"/>
        </w:rPr>
        <w:t>https://pubmed.ncbi.nlm.nih.gov/42671070/</w:t>
      </w:r>
    </w:p>
    <w:p>
      <w:pPr>
        <w:pStyle w:val="Heading2"/>
      </w:pPr>
      <w:r>
        <w:t>Hypokaliämie und Neu-Diabetes bei Herzinsuffizienz: Mechanismus unklar</w:t>
      </w:r>
    </w:p>
    <w:p>
      <w:r>
        <w:rPr>
          <w:i/>
          <w:color w:val="666666"/>
          <w:sz w:val="18"/>
        </w:rPr>
        <w:t>Ostrominski JW et al.  ·  Diabetes Care  ·  28.08.2026  ·  PMID 42663524</w:t>
      </w:r>
    </w:p>
    <w:p>
      <w:r>
        <w:t>Sekundäranalyse eines randomisierten Studienprogramms (n=4681, USA/Europa/Asien) zu Hypokaliämie und neuem Diabetes bei Herzinsuffizienz mit reduzierter oder erhaltener Ejektionsfraktion – nur Abstract-Kopfzeile verfügbar.</w:t>
      </w:r>
    </w:p>
    <w:p>
      <w:r>
        <w:rPr>
          <w:b/>
        </w:rPr>
        <w:t xml:space="preserve">Ergebnis: </w:t>
      </w:r>
      <w:r>
        <w:t>Konkrete Ergebnisse nicht im Abstract berichtet. Titel signalisiert Assoziation, Daten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USA-dominiert, Mechanismus unklar</w:t>
      </w:r>
    </w:p>
    <w:p>
      <w:r>
        <w:rPr>
          <w:color w:val="5A7D3A"/>
          <w:sz w:val="18"/>
        </w:rPr>
        <w:t>https://pubmed.ncbi.nlm.nih.gov/42663524/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