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Diabetes</w:t>
      </w:r>
    </w:p>
    <w:p>
      <w:r>
        <w:rPr>
          <w:i/>
          <w:color w:val="666666"/>
          <w:sz w:val="18"/>
        </w:rPr>
        <w:t>Stand: 13.09.2026  |  24 Studien  |  diabetes.m-vf.de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Epigenetische Modulation der Ernährungs-Diabetes-Assoziation: DNA-Methylierung stärker als Genetik</w:t>
      </w:r>
    </w:p>
    <w:p>
      <w:r>
        <w:rPr>
          <w:i/>
          <w:color w:val="666666"/>
          <w:sz w:val="18"/>
        </w:rPr>
        <w:t>El-Khoury C et al.  ·  Cardiovasc Diabetol  ·  11.09.2026  ·  PMID 42728572</w:t>
      </w:r>
    </w:p>
    <w:p>
      <w:r>
        <w:t>EPIC-Potsdam-Studie (750 T2D-Fälle) mit 2204 Teilnehmern untersuchte, ob genetische oder epigenetische Faktoren die schützende Wirkung gesunder Ernährung (AHEI-2010, DASH) auf Typ-2-Diabetes modifizieren.</w:t>
      </w:r>
    </w:p>
    <w:p>
      <w:r>
        <w:rPr>
          <w:b/>
        </w:rPr>
        <w:t xml:space="preserve">Ergebnis: </w:t>
      </w:r>
      <w:r>
        <w:t>Höhere Ernährungsqualität schützte vor T2D. Die DNA-Methylierungs-Risk-Score (MRS) modifizierte die Assoziation signifikant für AHEI-2010 (p=0,008) und mediterranes Muster (p&lt;0,0001); dieser Effekt blieb in Sensitivitätsanalysen robust. Ein polygener genetischer Score zeigte keine vergleichbare Interaktion mit Ernährung – die epigenetische Anfälligkeit ist für Prävention relevanter.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prospektive Kohortendaten, strukturiertes DMP-Setting übertragbar</w:t>
      </w:r>
    </w:p>
    <w:p>
      <w:r>
        <w:rPr>
          <w:color w:val="5A7D3A"/>
          <w:sz w:val="18"/>
        </w:rPr>
        <w:t>https://pubmed.ncbi.nlm.nih.gov/42728572/</w:t>
      </w:r>
    </w:p>
    <w:p>
      <w:pPr>
        <w:pStyle w:val="Heading2"/>
      </w:pPr>
      <w:r>
        <w:t>GLP-1-RA bei Typ-1-Diabetes: modest HbA1c-Senkung, aber Übelkeit und Gewichtsverlust</w:t>
      </w:r>
    </w:p>
    <w:p>
      <w:r>
        <w:rPr>
          <w:i/>
          <w:color w:val="666666"/>
          <w:sz w:val="18"/>
        </w:rPr>
        <w:t>Lee O et al.  ·  Diabetes Obes Metab  ·  10.09.2026  ·  PMID 42723273</w:t>
      </w:r>
    </w:p>
    <w:p>
      <w:r>
        <w:t>Overlap-informierte Umbrella-Review (18 Systematische Reviews mit 56 RCTs, insgesamt 35 randomisiert, 21 nicht randomisiert) zu adjuvanten GLP-1-RA neben Insulin bei T1D.</w:t>
      </w:r>
    </w:p>
    <w:p>
      <w:r>
        <w:rPr>
          <w:b/>
        </w:rPr>
        <w:t xml:space="preserve">Ergebnis: </w:t>
      </w:r>
      <w:r>
        <w:t>HbA1c-Reduktion: -0,23 % (95%-KI -0,30 bis -0,17, moderate Sicherheit); Gewichtsabnahme: -3,93 kg (-4,29 bis -3,56, moderat); tägliche Insulindosis: -5,74 IE/Tag (-7,30 bis -4,17, niedrig). Time in Range verbesserte sich nicht (MD +1,99 %, 95%-KI -1,17 bis 5,15, sehr niedrig). Schwere Hypoglykämie: RR 0,83 (0,36–1,91, niedrig). DKA: RR 0,67 (0,16–2,86, niedrig). Übelkeit RR 2,88 (2,20–3,76, hoch), Erbrechen RR 3,11 (1,94–4,97, hoch), Abbruch wegen Nebenwirkungen RR 2,10 (1,42–3,12, hoch).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T1D-spezifisch, in Deutschland nicht im DMP vorgesehen</w:t>
      </w:r>
    </w:p>
    <w:p>
      <w:r>
        <w:rPr>
          <w:color w:val="5A7D3A"/>
          <w:sz w:val="18"/>
        </w:rPr>
        <w:t>https://pubmed.ncbi.nlm.nih.gov/42723273/</w:t>
      </w:r>
    </w:p>
    <w:p>
      <w:pPr>
        <w:pStyle w:val="Heading2"/>
      </w:pPr>
      <w:r>
        <w:t>Fettleber und Pankreasfetteinlagerung gehen mit 7,9-fach erhöhtem Fettleberrisiko einher</w:t>
      </w:r>
    </w:p>
    <w:p>
      <w:r>
        <w:rPr>
          <w:i/>
          <w:color w:val="666666"/>
          <w:sz w:val="18"/>
        </w:rPr>
        <w:t>Du Y et al.  ·  Diabetes Res Clin Pract  ·  10.09.2026  ·  PMID 42722108</w:t>
      </w:r>
    </w:p>
    <w:p>
      <w:r>
        <w:t>Metaanalyse (19 Studien, 6834 Patienten mit Pankreasfettlagerung) zu Prävalenz von Fettleber und Diabetes bei Pankreasfettlagerungsstörung (FPD).</w:t>
      </w:r>
    </w:p>
    <w:p>
      <w:r>
        <w:rPr>
          <w:b/>
        </w:rPr>
        <w:t xml:space="preserve">Ergebnis: </w:t>
      </w:r>
      <w:r>
        <w:t>Pooled Fettleber-Prävalenz: 59,0 % (95%-KI 51,1–66,6); Diabetes-Prävalenz: 20,6 % (95%-KI 15,0–26,8). MRI/MRS-Studien berichten höhere Raten (76,5 % Fettleber, 27,7 % Diabetes). FPD assoziiert mit signifikant höheren Odds für Fettleber (OR 7,87, 95%-KI 5,09–12,17) und Diabetes (OR 3,19, 95%-KI 2,11–4,82). Gewichtsverlust bleibt zentrale 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Daten, China-dominiert, Screening-Algorithmen Deutschland-angepasst machbar</w:t>
      </w:r>
    </w:p>
    <w:p>
      <w:r>
        <w:rPr>
          <w:color w:val="5A7D3A"/>
          <w:sz w:val="18"/>
        </w:rPr>
        <w:t>https://pubmed.ncbi.nlm.nih.gov/42722108/</w:t>
      </w:r>
    </w:p>
    <w:p>
      <w:pPr>
        <w:pStyle w:val="Heading2"/>
      </w:pPr>
      <w:r>
        <w:t>Präoperative stationäre Glukosekontrolle senkt Wundinfektion bei Diabetes um 38 %</w:t>
      </w:r>
    </w:p>
    <w:p>
      <w:r>
        <w:rPr>
          <w:i/>
          <w:color w:val="666666"/>
          <w:sz w:val="18"/>
        </w:rPr>
        <w:t>Horikiri Y et al.  ·  J Diabetes Investig  ·  10.09.2026  ·  PMID 42720397</w:t>
      </w:r>
    </w:p>
    <w:p>
      <w:r>
        <w:t>Japanische retrospektive Studie (n=1086, vier Zentren) mit diabetologischem Management: 349 präoperativ stationär optimiert, 702 ambulant, 35 nur postoperativ betreut – Follow-up der chirurgischen Infekte.</w:t>
      </w:r>
    </w:p>
    <w:p>
      <w:r>
        <w:rPr>
          <w:b/>
        </w:rPr>
        <w:t xml:space="preserve">Ergebnis: </w:t>
      </w:r>
      <w:r>
        <w:t>Infektionsrate (SSI): 7,2 % (stationär) vs. 11,1 % (ambulant) vs. 20,0 % (nur postoperativ); p=0,020. Adjustiertes OR für stationäre Optimierung: 0,62 (95%-KI 0,39–0,99, p=0,044). Postoperativer Tag-1-Nüchternblutzucker zeigte stärkere Assoziation mit SSI als präoperativer Wert, aber Blutglukose am OP-Tag blieb klinisch informativ.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Klinik-Daten, deutsches Klinik-Setting bedingt übertragbar</w:t>
      </w:r>
    </w:p>
    <w:p>
      <w:r>
        <w:rPr>
          <w:color w:val="5A7D3A"/>
          <w:sz w:val="18"/>
        </w:rPr>
        <w:t>https://pubmed.ncbi.nlm.nih.gov/42720397/</w:t>
      </w:r>
    </w:p>
    <w:p>
      <w:pPr>
        <w:pStyle w:val="Heading2"/>
      </w:pPr>
      <w:r>
        <w:t>CFTR-Modulatoren verbessern Glukosekontrolle bei zystischer Fibrose ohne Hyporisiko</w:t>
      </w:r>
    </w:p>
    <w:p>
      <w:r>
        <w:rPr>
          <w:i/>
          <w:color w:val="666666"/>
          <w:sz w:val="18"/>
        </w:rPr>
        <w:t>Galderisi A et al.  ·  J Clin Endocrinol Metab  ·  31.08.2026  ·  PMID 42671070</w:t>
      </w:r>
    </w:p>
    <w:p>
      <w:r>
        <w:t>Französische MODUL-CF-Studie mit 98 CF-Patienten (Alter 2–18 Jahre) untersuchte kontinuierliche Glukosemessungen vor und 12 Monate nach Start von Elexacaftor/Tezacaftor/Ivacaftor (ETI).</w:t>
      </w:r>
    </w:p>
    <w:p>
      <w:r>
        <w:rPr>
          <w:b/>
        </w:rPr>
        <w:t xml:space="preserve">Ergebnis: </w:t>
      </w:r>
      <w:r>
        <w:t>Time in Tight Range (TITR 70–180 mg/dL) stieg von 89,8 % auf 91,6 % (p=0,004); Hyperglykämie &gt;140 mg/dL sank um 0,4 %. Variabilität sank (CV 21,5 % → 19,6 %, p&lt;0,001). Keine DKA oder schwere Hypoglykämie. Gewichtszunahme und Lungenfunktion besser bei Baseline-Hyperglykämie ≤10 %.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 Kinderkliniken, seltenes Spezial-Setting</w:t>
      </w:r>
    </w:p>
    <w:p>
      <w:r>
        <w:rPr>
          <w:color w:val="5A7D3A"/>
          <w:sz w:val="18"/>
        </w:rPr>
        <w:t>https://pubmed.ncbi.nlm.nih.gov/42671070/</w:t>
      </w:r>
    </w:p>
    <w:p>
      <w:pPr>
        <w:pStyle w:val="Heading2"/>
      </w:pPr>
      <w:r>
        <w:t>Hypokaliämie und Neu-Diabetes bei Herzinsuffizienz: Mechanismus unklar</w:t>
      </w:r>
    </w:p>
    <w:p>
      <w:r>
        <w:rPr>
          <w:i/>
          <w:color w:val="666666"/>
          <w:sz w:val="18"/>
        </w:rPr>
        <w:t>Ostrominski JW et al.  ·  Diabetes Care  ·  28.08.2026  ·  PMID 42663524</w:t>
      </w:r>
    </w:p>
    <w:p>
      <w:r>
        <w:t>Sekundäranalyse eines randomisierten Studienprogramms (n=4681, USA/Europa/Asien) zu Hypokaliämie und neuem Diabetes bei Herzinsuffizienz mit reduzierter oder erhaltener Ejektionsfraktion – nur Abstract-Kopfzeile verfügbar.</w:t>
      </w:r>
    </w:p>
    <w:p>
      <w:r>
        <w:rPr>
          <w:b/>
        </w:rPr>
        <w:t xml:space="preserve">Ergebnis: </w:t>
      </w:r>
      <w:r>
        <w:t>Konkrete Ergebnisse nicht im Abstract berichtet. Titel signalisiert Assoziation, Daten fehlen.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Daten, USA-dominiert, Mechanismus unklar</w:t>
      </w:r>
    </w:p>
    <w:p>
      <w:r>
        <w:rPr>
          <w:color w:val="5A7D3A"/>
          <w:sz w:val="18"/>
        </w:rPr>
        <w:t>https://pubmed.ncbi.nlm.nih.gov/42663524/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CVD-Risikogleichungen für Diabetes: Alterskoeffizient unterscheidet Hocheinkommens- von Ländern mit niedrigerem Einkommen</w:t>
      </w:r>
    </w:p>
    <w:p>
      <w:r>
        <w:rPr>
          <w:i/>
          <w:color w:val="666666"/>
          <w:sz w:val="18"/>
        </w:rPr>
        <w:t>Liang J et al.  ·  BMJ  ·  11.09.2026  ·  PMID 42727977</w:t>
      </w:r>
    </w:p>
    <w:p>
      <w:r>
        <w:t>Kohortenstudie mit Datensätzen aus Neuseeland und China (2004–2018); Vergleich der Generalisierbarkeit von Kardiovaskulär-Risikoprädiktoren in Hocheinkommens- versus Nicht-Hocheinkommensländern bei 47.958 Neuseeländern und 46.558 Chinesen mit Diabetes und ohne CVD in der Vorgeschichte.</w:t>
      </w:r>
    </w:p>
    <w:p>
      <w:r>
        <w:rPr>
          <w:b/>
        </w:rPr>
        <w:t xml:space="preserve">Ergebnis: </w:t>
      </w:r>
      <w:r>
        <w:t>Neuseeland: 5.622 CVD-Ereignisse (11,7%), China: 3.650 (7,8%). Hazard Ratio für Alter pro 10 Jahre: Frauen Neuseeland 1,61 (95% CI 1,51–1,71), China 2,51 (2,32–2,72). Standard-Rekalibrierung verbesserte Kalibrierung in China nicht (E/O-Ratio: 0,938–0,809), Austausch von Alterskoeffizienten jedoch ja (1,027–1,025).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Länderübergreifende Methodik, zeigt Limitationen für Deutschland bei Verwendung internationaler Gleichungen.</w:t>
      </w:r>
    </w:p>
    <w:p>
      <w:r>
        <w:rPr>
          <w:color w:val="5A7D3A"/>
          <w:sz w:val="18"/>
        </w:rPr>
        <w:t>https://pubmed.ncbi.nlm.nih.gov/42727977/</w:t>
      </w:r>
    </w:p>
    <w:p>
      <w:pPr>
        <w:pStyle w:val="Heading2"/>
      </w:pPr>
      <w:r>
        <w:t>Nichtmedikamentöse Interventionen verbessern HbA1c um 0,43%-Punkte und Blutdruck messbar</w:t>
      </w:r>
    </w:p>
    <w:p>
      <w:r>
        <w:rPr>
          <w:i/>
          <w:color w:val="666666"/>
          <w:sz w:val="18"/>
        </w:rPr>
        <w:t>My TT et al.  ·  Diabetes Res Clin Pract  ·  11.09.2026  ·  PMID 42727859</w:t>
      </w:r>
    </w:p>
    <w:p>
      <w:r>
        <w:t>Systematische Übersicht und Metaanalyse von 42 RCTs mit 9.586 Teilnehmern zu Effektivität nichtmedikamentöser Interventionen (psychoedukativ, verhaltenstherapeutisch, Geräte, Telemed) auf Stoffwechselkontrolle bei Typ-2-Diabetes (Primärendpunkt: mindestens 3 Komponenten des metabolischen Syndroms).</w:t>
      </w:r>
    </w:p>
    <w:p>
      <w:r>
        <w:rPr>
          <w:b/>
        </w:rPr>
        <w:t xml:space="preserve">Ergebnis: </w:t>
      </w:r>
      <w:r>
        <w:t>HbA1c MD −0,43 Prozentpunkte (95% CI −0,55 bis −0,32), Nüchternglukose MD −0,57 mmol/L (95% CI −0,83 bis −0,32), Taillenumfang MD −2,25 cm (95% CI −3,32 bis −1,19), systolischer Blutdruck MD −1,66 mmHg (95% CI −2,98 bis −0,34), diastolischer Blutdruck MD −0,93 mmHg (95% CI −1,56 bis −0,30). Triglyceride und HDL nicht signifikant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Evidenz, aber mit großer Heterogenität und Vorsicht vor Small-Study-Effekten geboten.</w:t>
      </w:r>
    </w:p>
    <w:p>
      <w:r>
        <w:rPr>
          <w:color w:val="5A7D3A"/>
          <w:sz w:val="18"/>
        </w:rPr>
        <w:t>https://pubmed.ncbi.nlm.nih.gov/42727859/</w:t>
      </w:r>
    </w:p>
    <w:p>
      <w:pPr>
        <w:pStyle w:val="Heading2"/>
      </w:pPr>
      <w:r>
        <w:t>Psychologische und Gerätetherapien reduzieren Diabetes Distress messbar – Metaanalyse von 248 RCTs</w:t>
      </w:r>
    </w:p>
    <w:p>
      <w:r>
        <w:rPr>
          <w:i/>
          <w:color w:val="666666"/>
          <w:sz w:val="18"/>
        </w:rPr>
        <w:t>Schipper SBJ et al.  ·  Diabetologia  ·  11.09.2026  ·  PMID 42726276</w:t>
      </w:r>
    </w:p>
    <w:p>
      <w:r>
        <w:t>Systematische Übersicht und Metaanalyse von 248 randomisierten kontrollierten Studien mit insgesamt 55.497 Teilnehmern zur Wirksamkeit von Interventionen zur Reduktion von Diabetes Distress (emotionale Belastung durch Diabetes-Management) bei Erwachsenen mit Typ-1- oder Typ-2-Diabetes.</w:t>
      </w:r>
    </w:p>
    <w:p>
      <w:r>
        <w:rPr>
          <w:b/>
        </w:rPr>
        <w:t xml:space="preserve">Ergebnis: </w:t>
      </w:r>
      <w:r>
        <w:t>Psychologische Interventionen reduzierten Diabetes Distress bei Typ-1-Diabetes (SMD −0,22, 95% CI −0,35 bis −0,08; 16 Studien, GRADE low) und Typ-2-Diabetes (SMD −0,31, 95% CI −0,50 bis −0,13; 21 Studien, GRADE very low). CGM reduzierte Distress bei Typ-1-Diabetes (SMD −0,26, 95% CI −0,41 bis −0,11; 6 Studien, GRADE moderate). Edukative Interventionen reduzierten Distress bei Typ-2-Diabetes (SMD −0,34, 95% CI −0,56 bis −0,11; 3 Studien, GRADE low). Andere Interventionen zeigten keine signifikanten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EASD-Leitlinie mit europäischen Koautoren, psychologische Interventionen praxisrelevant.</w:t>
      </w:r>
    </w:p>
    <w:p>
      <w:r>
        <w:rPr>
          <w:color w:val="5A7D3A"/>
          <w:sz w:val="18"/>
        </w:rPr>
        <w:t>https://pubmed.ncbi.nlm.nih.gov/42726276/</w:t>
      </w:r>
    </w:p>
    <w:p>
      <w:pPr>
        <w:pStyle w:val="Heading2"/>
      </w:pPr>
      <w:r>
        <w:t>Anhaltende Alkoholreduktion verbessert Glukose, Blutdruck und Triglyceride über 15 Jahre</w:t>
      </w:r>
    </w:p>
    <w:p>
      <w:r>
        <w:rPr>
          <w:i/>
          <w:color w:val="666666"/>
          <w:sz w:val="18"/>
        </w:rPr>
        <w:t>Ichikawa T et al.  ·  Diabetes Obes Metab  ·  09.09.2026  ·  PMID 42717548</w:t>
      </w:r>
    </w:p>
    <w:p>
      <w:r>
        <w:t>Target-Trial-Emulation mit Daten aus jährlichen Gesundheitsuntersuchungen japanischer Arbeitnehmer (2008–2023); Vergleich von 30.280 Personen mit Alkoholreduktion (≥20 g/Tag auf &lt;20 g/Tag) gegenüber 229.946 Kontrollpersonen mit ≥20 g/Tag Baseline-Konsum über 15 Jahre Nachbeobachtung.</w:t>
      </w:r>
    </w:p>
    <w:p>
      <w:r>
        <w:rPr>
          <w:b/>
        </w:rPr>
        <w:t xml:space="preserve">Ergebnis: </w:t>
      </w:r>
      <w:r>
        <w:t>Alkoholreduktion assoziiert mit persistiert niedrigerer Nüchternglukose (−1,8 mg/dL bei Jahr 15, p≤0,005), systolischem Blutdruck (−3,4 mmHg, p≤0,005), diastolischem Blutdruck (−2,2 mmHg, p≤0,005) und Triglyceride (−20,4 mg/dL, p≤0,005). HDL-Cholesterin konsistent niedriger, LDL-Cholesterin moderat höher in der Interventionsgruppe.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betriebliche Gesundheitsdaten; Lebensstiländerung übertragbar auf deutsche Beratungspraxis.</w:t>
      </w:r>
    </w:p>
    <w:p>
      <w:r>
        <w:rPr>
          <w:color w:val="5A7D3A"/>
          <w:sz w:val="18"/>
        </w:rPr>
        <w:t>https://pubmed.ncbi.nlm.nih.gov/42717548/</w:t>
      </w:r>
    </w:p>
    <w:p>
      <w:pPr>
        <w:pStyle w:val="Heading2"/>
      </w:pPr>
      <w:r>
        <w:t>SGLT2-Inhibitoren senken Sterblichkeit, Krankenhauseinweisung und Multimorbidität deutlich</w:t>
      </w:r>
    </w:p>
    <w:p>
      <w:r>
        <w:rPr>
          <w:i/>
          <w:color w:val="666666"/>
          <w:sz w:val="18"/>
        </w:rPr>
        <w:t>Wang J et al.  ·  Eur J Endocrinol  ·  28.08.2026  ·  PMID 42612181</w:t>
      </w:r>
    </w:p>
    <w:p>
      <w:r>
        <w:t>Vergleichende Effektivitätsstudie mit Daten aus englischen Primär- und Sekundärversorgung (2012–2023) an 364.522 Erwachsenen mit Typ-2-Diabetes, die SGLT2-Inhibitoren oder DPP-4-Inhibitoren neu ansetzten; Endpunkte waren Sterblichkeit, Krankenhausaufnahmen und 59 Langzeiterkrankungen.</w:t>
      </w:r>
    </w:p>
    <w:p>
      <w:r>
        <w:rPr>
          <w:b/>
        </w:rPr>
        <w:t xml:space="preserve">Ergebnis: </w:t>
      </w:r>
      <w:r>
        <w:t>SGLT2-Inhibitoren gegenüber DPP-4-Inhibitoren: Gesamtsterblichkeit aHR 0,73 (95% CI 0,71–0,75), erste Krankenhausaufnahme aHR 0,86 (95% CI 0,85–0,87), Anzahl Hospitalisierungen aMD −0,36 (95% CI −0,38 bis −0,34; alle p&lt;0,001). 28 Erkrankungen mit reduziertem Risiko (Demenz, Krebs, Lebererkrankung, diabetisches Fußulkus, Epilepsie, Rheumatoide Arthritis), 4 mit erhöhtem Risiko (Candidose, DKA).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Englisches NHS-System, übertragbar auf deutsche GKV-Strukturen und DMP.</w:t>
      </w:r>
    </w:p>
    <w:p>
      <w:r>
        <w:rPr>
          <w:color w:val="5A7D3A"/>
          <w:sz w:val="18"/>
        </w:rPr>
        <w:t>https://pubmed.ncbi.nlm.nih.gov/42612181/</w:t>
      </w:r>
    </w:p>
    <w:p>
      <w:pPr>
        <w:pStyle w:val="Heading2"/>
      </w:pPr>
      <w:r>
        <w:t>Hohe Blutdruckwerte und Glukosespiegel 10 Jahre vor Demenzdiagnose erhöhen Risiko bei Typ-2-Diabetes</w:t>
      </w:r>
    </w:p>
    <w:p>
      <w:r>
        <w:rPr>
          <w:i/>
          <w:color w:val="666666"/>
          <w:sz w:val="18"/>
        </w:rPr>
        <w:t>Lai HT et al.  ·  BMJ Open Diabetes Res Care  ·  17.08.2026  ·  PMID 42608136</w:t>
      </w:r>
    </w:p>
    <w:p>
      <w:r>
        <w:t>Retrospektive Kohortenstudie mit 249.958 Erwachsenen mit Typ-2-Diabetes aus England (1999–2018); Untersuchung der Assoziation von 8 kardiometabolischen Markern mit Demenzrisiko, stratifiziert nach Messzeitpunkt (5, 5–10, ≥10 Jahre vor Diagnose).</w:t>
      </w:r>
    </w:p>
    <w:p>
      <w:r>
        <w:rPr>
          <w:b/>
        </w:rPr>
        <w:t xml:space="preserve">Ergebnis: </w:t>
      </w:r>
      <w:r>
        <w:t>22.492 Demenzfälle (1.257.998 Personenjahre). Diastolischer Blutdruck (90 vs. 80 mmHg): 21% höheres Demenzrisiko (95% CI 15–27%). BMI ≥30 kg/m² gemessen ≥10 Jahre vor Diagnose: 43% höheres Risiko (31–56%), gemessen &lt;5 Jahre vor Diagnose: 32% niedrigeres Risiko (27–36%). Höhere Glukose konsistent mit erhöhtem 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Primärversorgungsdaten, ähnliche Dokumentationspflichten wie Deutsche KHSystems.</w:t>
      </w:r>
    </w:p>
    <w:p>
      <w:r>
        <w:rPr>
          <w:color w:val="5A7D3A"/>
          <w:sz w:val="18"/>
        </w:rPr>
        <w:t>https://pubmed.ncbi.nlm.nih.gov/42608136/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MASLD bei Typ-2-Diabetes: zentrale Adiposität, nicht Alter, bestimmt Steatose</w:t>
      </w:r>
    </w:p>
    <w:p>
      <w:r>
        <w:rPr>
          <w:i/>
          <w:color w:val="666666"/>
          <w:sz w:val="18"/>
        </w:rPr>
        <w:t>Corrao S et al.  ·  Acta Diabetol  ·  10.09.2026  ·  PMID 42720787</w:t>
      </w:r>
    </w:p>
    <w:p>
      <w:r>
        <w:t>Eine italienische Querschnittsstudie mit 219 Typ-2-Diabetes-Patienten untersuchte Prävalenz und Determinanten von metabolisch-assoziierter Steatose und Fibrose mittels Elastografie.</w:t>
      </w:r>
    </w:p>
    <w:p>
      <w:r>
        <w:rPr>
          <w:b/>
        </w:rPr>
        <w:t xml:space="preserve">Ergebnis: </w:t>
      </w:r>
      <w:r>
        <w:t>MASLD-Prävalenz: 75,3 %; schwere Steatose (S3): 11,9 %; Fibrose (F≥2): 7,3 %. Männliches Geschlecht (OR 2,49) und Taillenumfang (OR 1,04 pro cm) waren unabhängig mit MASLD assoziiert. MASLD-Prävalenz stieg über Taillenumfang-Quartile (Trend p=0,001), Fibrosis zeigte keine Assoziation mit Adiposität (p=0,65). HbA1c und Diabetesdauer waren nicht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EU-Versorgung; adipositas-fokussiertes Hepatitis-Screening könnte in deutschen DMP integriert werden.</w:t>
      </w:r>
    </w:p>
    <w:p>
      <w:r>
        <w:rPr>
          <w:color w:val="5A7D3A"/>
          <w:sz w:val="18"/>
        </w:rPr>
        <w:t>https://pubmed.ncbi.nlm.nih.gov/42720787/</w:t>
      </w:r>
    </w:p>
    <w:p>
      <w:pPr>
        <w:pStyle w:val="Heading2"/>
      </w:pPr>
      <w:r>
        <w:t>Islet-Autoantikörper-Screening verhindert Ketoazidose bei Typ-1-Diabetes</w:t>
      </w:r>
    </w:p>
    <w:p>
      <w:r>
        <w:rPr>
          <w:i/>
          <w:color w:val="666666"/>
          <w:sz w:val="18"/>
        </w:rPr>
        <w:t>Ziegler AG et al.  ·  Diabetologia  ·  10.09.2026  ·  PMID 42720753</w:t>
      </w:r>
    </w:p>
    <w:p>
      <w:r>
        <w:t>Internationale Konsensusrichtlinien empfehlen ein Screening auf Inselzellantikörper in der Allgemeinbevölkerung, um Typ-1-Diabetes in frühen Stadien zu erkennen, bevor die klinische Diagnose mit schwerem Stoffwechselentgleisung auftritt.</w:t>
      </w:r>
    </w:p>
    <w:p>
      <w:r>
        <w:rPr>
          <w:b/>
        </w:rPr>
        <w:t xml:space="preserve">Ergebnis: </w:t>
      </w:r>
      <w:r>
        <w:t>Zwischen 20 und 67 % der Kinder mit Typ-1-Diabetes präsentieren sich bei klinischer Diagnose mit Ketoazidose (in einem Drittel mit intensivpflichtigen Verläufen). Früherkennung durch Antikörper ermöglicht die Prävention von Ketoazidose und milderere klinische Manifestation mit ausstätiger Insulineinleitung.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in Deutschland noch nicht implementiert – erfordert Screeningstruktur.</w:t>
      </w:r>
    </w:p>
    <w:p>
      <w:r>
        <w:rPr>
          <w:color w:val="5A7D3A"/>
          <w:sz w:val="18"/>
        </w:rPr>
        <w:t>https://pubmed.ncbi.nlm.nih.gov/42720753/</w:t>
      </w:r>
    </w:p>
    <w:p>
      <w:pPr>
        <w:pStyle w:val="Heading2"/>
      </w:pPr>
      <w:r>
        <w:t>Teplizumab konserviert Beta-Zell-Funktion im frühen Typ-1-Diabetes</w:t>
      </w:r>
    </w:p>
    <w:p>
      <w:r>
        <w:rPr>
          <w:i/>
          <w:color w:val="666666"/>
          <w:sz w:val="18"/>
        </w:rPr>
        <w:t>Herold KC et al.  ·  Diabetologia  ·  10.09.2026  ·  PMID 42720752</w:t>
      </w:r>
    </w:p>
    <w:p>
      <w:r>
        <w:t>Eine randomisierte klinische Studie untersuchte, ob die anti-CD3-Monoklonantiköper-Therapie Teplizumab Beta-Zellen vor Zerstörung bewahrt und die Insulinbehandlung reduziert.</w:t>
      </w:r>
    </w:p>
    <w:p>
      <w:r>
        <w:rPr>
          <w:b/>
        </w:rPr>
        <w:t xml:space="preserve">Ergebnis: </w:t>
      </w:r>
      <w:r>
        <w:t>Bei 275 Kindern zeigte Teplizumab signifikant höhere C-Peptid-Werte (0,14 nmol/l Unterschied, p&lt;0,001), Insulindosisreduktion um 0,17 U/kg/Tag und 6,17 % mehr Time in Range gegenüber Placebo bei Woche 78. Die Effekte waren unabhängig vom HLA-Subtyp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Praxisverändernd – FDA-zugelassene Therapie, aber nicht in Deutschland erstattet; könnte zentrale diabetologische Praxen erreichen.</w:t>
      </w:r>
    </w:p>
    <w:p>
      <w:r>
        <w:rPr>
          <w:color w:val="5A7D3A"/>
          <w:sz w:val="18"/>
        </w:rPr>
        <w:t>https://pubmed.ncbi.nlm.nih.gov/42720752/</w:t>
      </w:r>
    </w:p>
    <w:p>
      <w:pPr>
        <w:pStyle w:val="Heading2"/>
      </w:pPr>
      <w:r>
        <w:t>Thalamische Bioenergien-Störung bei schmerzhaftem diabetischen Polyneuropathie-Syndrom</w:t>
      </w:r>
    </w:p>
    <w:p>
      <w:r>
        <w:rPr>
          <w:i/>
          <w:color w:val="666666"/>
          <w:sz w:val="18"/>
        </w:rPr>
        <w:t>Sloan G et al.  ·  Diabetologia  ·  10.09.2026  ·  PMID 42720751</w:t>
      </w:r>
    </w:p>
    <w:p>
      <w:r>
        <w:t>Eine britische MR-Spektroskopie-Studie verglich Hirnstoffwechsel bei schmerzhaften und schmerzlosen Neuropathien, um Mechanismen der Neuropathie-Schmerzentwicklung zu klären.</w:t>
      </w:r>
    </w:p>
    <w:p>
      <w:r>
        <w:rPr>
          <w:b/>
        </w:rPr>
        <w:t xml:space="preserve">Ergebnis: </w:t>
      </w:r>
      <w:r>
        <w:t>Bei 49 Teilnehmern (38 mit T2DM, davon 18 mit schmerzhafter DPN, 11 schmerzlos) zeigte sich bei schmerzhafter DPN höheres NAA:Cholin-Verhältnis (neuronal Function) und signifikant niedrigeres Pi:ATP-Verhältnis (Bioenergien, p&lt;0,05). Schmerzintensität korrelierte mit thalamischem Pi:ATP. Diese Marker könnten objektive neuropathische Schmerzbiomarker für klinische Studien liefern.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Klinikdaten – Mechanismus-Forschung könnte zu neuen DPN-Wirkstoffen führen; noch nicht patientennah implementierbar.</w:t>
      </w:r>
    </w:p>
    <w:p>
      <w:r>
        <w:rPr>
          <w:color w:val="5A7D3A"/>
          <w:sz w:val="18"/>
        </w:rPr>
        <w:t>https://pubmed.ncbi.nlm.nih.gov/42720751/</w:t>
      </w:r>
    </w:p>
    <w:p>
      <w:pPr>
        <w:pStyle w:val="Heading2"/>
      </w:pPr>
      <w:r>
        <w:t>Diabetes-Risikomodelle bedürfen Kalibrierung für Afrika und Europa</w:t>
      </w:r>
    </w:p>
    <w:p>
      <w:r>
        <w:rPr>
          <w:i/>
          <w:color w:val="666666"/>
          <w:sz w:val="18"/>
        </w:rPr>
        <w:t>Smidt MF et al.  ·  Diabetes Obes Metab  ·  01.09.2026  ·  PMID 42681823</w:t>
      </w:r>
    </w:p>
    <w:p>
      <w:r>
        <w:t>Externe Validierung etablierter Diabetes-Präventionsmodelle (u. a. Finnisches Risiko-Modell) in afrikanischen und europäischen Kohorten zeigte, dass alle Modelle schlecht diskriminieren und Risiken unterschätzen.</w:t>
      </w:r>
    </w:p>
    <w:p>
      <w:r>
        <w:rPr>
          <w:b/>
        </w:rPr>
        <w:t xml:space="preserve">Ergebnis: </w:t>
      </w:r>
      <w:r>
        <w:t>Alle fünf getesteten Modelle zeigten schwache Diskrimination (c-Statistic &lt;0,70) und systematische Risikounterschätzung. Nach lokaler Rekalibrierung wurden Kalibrierungsfehler auf ≤2,3 % (RODAM, VIP) bzw. ≤3,4 % (MASC) reduziert. Dysglykämie-Inzidenz variierte stark: 17,7 % (RODAM), 35,0 % (MASC), 27,5 % (VIP).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Kohorten (Schweden, Niederlande); zeigt Grenze globaler Modelle – lokale Anpassung notwendig.</w:t>
      </w:r>
    </w:p>
    <w:p>
      <w:r>
        <w:rPr>
          <w:color w:val="5A7D3A"/>
          <w:sz w:val="18"/>
        </w:rPr>
        <w:t>https://pubmed.ncbi.nlm.nih.gov/42681823/</w:t>
      </w:r>
    </w:p>
    <w:p>
      <w:pPr>
        <w:pStyle w:val="Heading2"/>
      </w:pPr>
      <w:r>
        <w:t>Mütterliches Alter und BMI erhöhen Gestationsdiabetes-Risiko unabhängig</w:t>
      </w:r>
    </w:p>
    <w:p>
      <w:r>
        <w:rPr>
          <w:i/>
          <w:color w:val="666666"/>
          <w:sz w:val="18"/>
        </w:rPr>
        <w:t>Zanardo V et al.  ·  Diabetes Res Clin Pract  ·  22.08.2026  ·  PMID 42632458</w:t>
      </w:r>
    </w:p>
    <w:p>
      <w:r>
        <w:t>Eine italienische Kohorte mit niedriger Parität und verzögerter Fertilität untersuchte unabhängige und kombinierte Effekte dieser Faktoren auf das Gestationsdiabetes-Risiko.</w:t>
      </w:r>
    </w:p>
    <w:p>
      <w:r>
        <w:rPr>
          <w:b/>
        </w:rPr>
        <w:t xml:space="preserve">Ergebnis: </w:t>
      </w:r>
      <w:r>
        <w:t>Von 2.560 Frauen mit später/niedriger Fertilität entwickelten 231 (9,9 %) Gestationsdiabetes. GDM-Prävalenz stieg mit Alter: 36 Jahre (median) bei GDM vs. 33 Jahre bei Kontrollen (p&lt;0,001) und erreichte 16,1 % nach 40 Jahren. BMI bei Geburt war unabhängig assoziiert (27,9 vs. 26,8 kg/m², p&lt;0,05). Keine Alters-Parität-Interaktion.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 (Italien), vergleichbare Sozialversicherung – übertragbar auf Deutsche Schwangerenvorsorge.</w:t>
      </w:r>
    </w:p>
    <w:p>
      <w:r>
        <w:rPr>
          <w:color w:val="5A7D3A"/>
          <w:sz w:val="18"/>
        </w:rPr>
        <w:t>https://pubmed.ncbi.nlm.nih.gov/42632458/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Einjährige Progression von Prädiabetes zu Typ-2-Diabetes in türkischer Primärversorgung: 5,9%</w:t>
      </w:r>
    </w:p>
    <w:p>
      <w:r>
        <w:rPr>
          <w:i/>
          <w:color w:val="666666"/>
          <w:sz w:val="18"/>
        </w:rPr>
        <w:t>Tapur AS et al.  ·  Prim Care Diabetes  ·  09.09.2026  ·  PMID 42716862</w:t>
      </w:r>
    </w:p>
    <w:p>
      <w:r>
        <w:t>Prospektive Kohortenstudie in der Türkei zu Prädiabetes-Fortschreitung (n=152, Follow-up 1 Jahr) mit Charakterisierung von Progressoren und Nicht-Progressoren.</w:t>
      </w:r>
    </w:p>
    <w:p>
      <w:r>
        <w:rPr>
          <w:b/>
        </w:rPr>
        <w:t xml:space="preserve">Ergebnis: </w:t>
      </w:r>
      <w:r>
        <w:t>Progressionsrate 5,9% (95%-KI 2,7–10,9%, 9 Fälle). Alle 9 Fälle traten bei kombinierter Nüchtern-Glukose- und Glukosetoleranzstörung auf. Progressoren hatten höher BMI, Taillenumfang, Nüchternglukose, HbA1c und 2-h-Glukose. 2-h-Glukose zeigte stärkste Trennung; alle Befunde aufgrund niedriger Fallzahl unvalidiert und hypothesengenerierend.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Primärversorgung Türkei; Transferierbarkeit limitiert (kleine Fallzahl, keine Validierung)</w:t>
      </w:r>
    </w:p>
    <w:p>
      <w:r>
        <w:rPr>
          <w:color w:val="5A7D3A"/>
          <w:sz w:val="18"/>
        </w:rPr>
        <w:t>https://pubmed.ncbi.nlm.nih.gov/42716862/</w:t>
      </w:r>
    </w:p>
    <w:p>
      <w:pPr>
        <w:pStyle w:val="Heading2"/>
      </w:pPr>
      <w:r>
        <w:t>10-kHz Rückenmarkstimulation lindert Schmerz und bessert Nervenfunktion bei diabetischer Neuropathie</w:t>
      </w:r>
    </w:p>
    <w:p>
      <w:r>
        <w:rPr>
          <w:i/>
          <w:color w:val="666666"/>
          <w:sz w:val="18"/>
        </w:rPr>
        <w:t>Hurley RW et al.  ·  Diabetes Care  ·  09.09.2026  ·  PMID 42713876</w:t>
      </w:r>
    </w:p>
    <w:p>
      <w:r>
        <w:t>Randomisierte Kontrollstudie (PDN-Sensory) zur hochfrequenten Rückenmarkstimulation gegen konventionelle Behandlung bei schmerzhafter diabetischer Neuropathie mit Schmerzlinderung und sensorischen Endpunkten.</w:t>
      </w:r>
    </w:p>
    <w:p>
      <w:r>
        <w:rPr>
          <w:b/>
        </w:rPr>
        <w:t xml:space="preserve">Ergebnis: </w:t>
      </w:r>
      <w:r>
        <w:t>Schmerzlinderung ≥50% erreichten 79% (27/34) der Stimulationsgruppe vs. 4% (2/50) Kontrollen (p&lt;0,001). Sensorische Verbesserung (≥3-Punkte-Reduktion mTCNS) in 55% vs. 25% (p=0,01). Mittlere Zunahme der intraepidermalen Nervenfaserdichte +0,58 Fasern/mm vs. –0,07 in der Kontrollgruppe (p=0,03). Primär- und 8 von 10 sekundären Endpunkten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USA/angelsächsisches System; Sicherheits- und Wirksamkeitsdaten geographieunabhängig</w:t>
      </w:r>
    </w:p>
    <w:p>
      <w:r>
        <w:rPr>
          <w:color w:val="5A7D3A"/>
          <w:sz w:val="18"/>
        </w:rPr>
        <w:t>https://pubmed.ncbi.nlm.nih.gov/42713876/</w:t>
      </w:r>
    </w:p>
    <w:p>
      <w:pPr>
        <w:pStyle w:val="Heading2"/>
      </w:pPr>
      <w:r>
        <w:t>Mortalität bei diabetischem Fusssyndrom höher als bei Krebs in drei internationalen Kohorten</w:t>
      </w:r>
    </w:p>
    <w:p>
      <w:r>
        <w:rPr>
          <w:i/>
          <w:color w:val="666666"/>
          <w:sz w:val="18"/>
        </w:rPr>
        <w:t>Zeng Q et al.  ·  Diabetes Metab Res Rev  ·  Sept. 2026  ·  PMID 42708860</w:t>
      </w:r>
    </w:p>
    <w:p>
      <w:r>
        <w:t>Vergleich der Sterblichkeit von Patienten mit diabetischem Fusssyndrom und verschiedenen Krebsarten anhand von Daten aus NHANES, UK Biobank und einer chinesischen Diabetes-Registry.</w:t>
      </w:r>
    </w:p>
    <w:p>
      <w:r>
        <w:rPr>
          <w:b/>
        </w:rPr>
        <w:t xml:space="preserve">Ergebnis: </w:t>
      </w:r>
      <w:r>
        <w:t>Patienten mit diabetischem Fusssyndrom hatten eine um 38 bis 499% höhere Sterblichkeit als Patienten mit Krebs insgesamt (Hazard Ratios 1,35–10,69 je nach Kohort und Krebsart). Die Sterblichkeit des diabetischen Fusssyndroms war ähnlich wie bei Dickdarm-, Lymph- und Nierenkarzinom und niedriger nur als bei Lungen-, Pankreas- und Leberkarzinom. Eine eindrucksvolle Demonstration der schwerwiegenden Prognose dieser Komplikation.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Kohortenanalyse; Konsequenz für Priorisierung von Versorgungsressourcen und Prävention</w:t>
      </w:r>
    </w:p>
    <w:p>
      <w:r>
        <w:rPr>
          <w:color w:val="5A7D3A"/>
          <w:sz w:val="18"/>
        </w:rPr>
        <w:t>https://pubmed.ncbi.nlm.nih.gov/42708860/</w:t>
      </w:r>
    </w:p>
    <w:p>
      <w:pPr>
        <w:pStyle w:val="Heading2"/>
      </w:pPr>
      <w:r>
        <w:t>Glukosemessung identifiziert Typ-1-Diabetes in frühen Stadien und Schnellfortschrittler</w:t>
      </w:r>
    </w:p>
    <w:p>
      <w:r>
        <w:rPr>
          <w:i/>
          <w:color w:val="666666"/>
          <w:sz w:val="18"/>
        </w:rPr>
        <w:t>Weiss A et al.  ·  Diabetologia  ·  07.09.2026  ·  PMID 42704479</w:t>
      </w:r>
    </w:p>
    <w:p>
      <w:r>
        <w:t>Kontinuierliche Glukosemessung mit FreeStyle Libre Pro iQ bei Kindern mit und ohne Diabetesautoantikörpern zur Unterscheidung von Krankheitsstadien und zur Risikoschichtung.</w:t>
      </w:r>
    </w:p>
    <w:p>
      <w:r>
        <w:rPr>
          <w:b/>
        </w:rPr>
        <w:t xml:space="preserve">Ergebnis: </w:t>
      </w:r>
      <w:r>
        <w:t>Bei frühem Typ-1-Diabetes hatten 22% (Stadium 1) und 52% (Stadium 2) erhöhte Glukoseparameter (oberhalb 97,5. Perzentil). Bei der Metrik »Zeit &gt;140 mg/dL« (TA140) &gt;15% wurden 75–100% der innerhalb eines Jahres zu klinischem Diabetes Fortschreitenden erkannt (Sensitivität). Systemabhängig variierende Referenzwerte erfordern Harmonisierung vor klinischer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Studiengruppe Fr1da (München); Transfer in deutsche Früherkennung realistisch</w:t>
      </w:r>
    </w:p>
    <w:p>
      <w:r>
        <w:rPr>
          <w:color w:val="5A7D3A"/>
          <w:sz w:val="18"/>
        </w:rPr>
        <w:t>https://pubmed.ncbi.nlm.nih.gov/42704479/</w:t>
      </w:r>
    </w:p>
    <w:p>
      <w:pPr>
        <w:pStyle w:val="Heading2"/>
      </w:pPr>
      <w:r>
        <w:t>Soziale Ungleichheit bei Gestationsdiabetes und Komplikationslast in Schweden</w:t>
      </w:r>
    </w:p>
    <w:p>
      <w:r>
        <w:rPr>
          <w:i/>
          <w:color w:val="666666"/>
          <w:sz w:val="18"/>
        </w:rPr>
        <w:t>Kaegi-Braun N et al.  ·  J Clin Endocrinol Metab  ·  07.09.2026  ·  PMID 42702813</w:t>
      </w:r>
    </w:p>
    <w:p>
      <w:r>
        <w:t>Nationale Kohortenstudie zu Assoziation von Herkunft, Bildung, Einkommen mit Gestationsdiabetes-Prävalenz und Komplikationen in 938.798 Schwangerschaften (2015–2023).</w:t>
      </w:r>
    </w:p>
    <w:p>
      <w:r>
        <w:rPr>
          <w:b/>
        </w:rPr>
        <w:t xml:space="preserve">Ergebnis: </w:t>
      </w:r>
      <w:r>
        <w:t>Gestationsdiabetes-Prävalenz stieg von 1,5% (2015) auf 6,6% (2023), steepest bei Migrationshintergrund, niedrigerer Bildung und niedrigerem Einkommen. Relative Assoziationen mit Schwangerschafts- und geburtshilflichen Komplikationen waren bei niedrigerer Bildung stärker (p-Interaktion=0,029, 0,038). Assoziation varierte nach Herkunftsregion; Absolute Risiken aber nicht uniformly niedriger bei Migrantinnen.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Registers; Vergleichbar mit deutschem Sozialversicherungssystem und Versorgungsauftrag</w:t>
      </w:r>
    </w:p>
    <w:p>
      <w:r>
        <w:rPr>
          <w:color w:val="5A7D3A"/>
          <w:sz w:val="18"/>
        </w:rPr>
        <w:t>https://pubmed.ncbi.nlm.nih.gov/42702813/</w:t>
      </w:r>
    </w:p>
    <w:p>
      <w:pPr>
        <w:pStyle w:val="Heading2"/>
      </w:pPr>
      <w:r>
        <w:t>Amputation bei Typ-2-Diabetes: 2,5-faches Herz-Kreislauf-Sterberisiko im Folgejahr</w:t>
      </w:r>
    </w:p>
    <w:p>
      <w:r>
        <w:rPr>
          <w:i/>
          <w:color w:val="666666"/>
          <w:sz w:val="18"/>
        </w:rPr>
        <w:t>Bergqvist K et al.  ·  Cardiovasc Diabetol  ·  24.08.2026  ·  PMID 42649507</w:t>
      </w:r>
    </w:p>
    <w:p>
      <w:r>
        <w:t>Bevölkerungsstudie zur kardiovaskulären Prognose nach Amputation bei Typ-2-Diabetes anhand des Schwedischen Nationaldiabetesregisters (2006–2019) mit Matching auf 13.940 Kontrollen ohne Amputation.</w:t>
      </w:r>
    </w:p>
    <w:p>
      <w:r>
        <w:rPr>
          <w:b/>
        </w:rPr>
        <w:t xml:space="preserve">Ergebnis: </w:t>
      </w:r>
      <w:r>
        <w:t>Adjustierte Hazard Ratios für Amputierte: Gesamtsterblichkeit 2,46 (95%-KI 2,31–2,61), kardiovaskuläre Sterblichkeit 2,43 (2,18–2,71), Herzinsuffizienz 2,13 (1,92–2,36), Myokardinfarkt 1,79 (1,55–2,08), Schlaganfall 1,52 (1,31–1,76). Im ersten Jahr nach Amputation &gt;3-fach erhöht, nach 5 Jahren noch um 50%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Gesundheitssystem, nationale Registers; übertragbar auf deutsches Versicherungsregime</w:t>
      </w:r>
    </w:p>
    <w:p>
      <w:r>
        <w:rPr>
          <w:color w:val="5A7D3A"/>
          <w:sz w:val="18"/>
        </w:rPr>
        <w:t>https://pubmed.ncbi.nlm.nih.gov/42649507/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