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Diabetes</w:t>
      </w:r>
    </w:p>
    <w:p>
      <w:r>
        <w:rPr>
          <w:i/>
          <w:color w:val="666666"/>
          <w:sz w:val="18"/>
        </w:rPr>
        <w:t>Stand: 24.09.2026  |  6 Studien  |  diabetes.m-vf.de</w:t>
      </w:r>
    </w:p>
    <w:p>
      <w:pPr>
        <w:pStyle w:val="Heading1"/>
      </w:pPr>
      <w:r>
        <w:t>Aufgenommen am 24.09.2026</w:t>
      </w:r>
    </w:p>
    <w:p>
      <w:pPr>
        <w:pStyle w:val="Heading2"/>
      </w:pPr>
      <w:r>
        <w:t>GLP-1-Rezeptoragonisten und SGLT2-Inhibitoren schützen Nieren mit Albuminurie stärker als ohne</w:t>
      </w:r>
    </w:p>
    <w:p>
      <w:r>
        <w:rPr>
          <w:i/>
          <w:color w:val="666666"/>
          <w:sz w:val="18"/>
        </w:rPr>
        <w:t>Turchin A et al.  ·  BMJ  ·  16.09.2026  ·  PMID 42778221</w:t>
      </w:r>
    </w:p>
    <w:p>
      <w:r>
        <w:t>Beobachtungsstudie (USA: elektronische Krankenakten und Versicherungsdaten) zur Nierenprotektion durch GLP-1-Rezeptoragonisten oder SGLT2-Inhibitoren versus DPP-4-Inhibitoren bei Typ-2-Diabetes mit und ohne Albuminurie.</w:t>
      </w:r>
    </w:p>
    <w:p>
      <w:r>
        <w:rPr>
          <w:b/>
        </w:rPr>
        <w:t xml:space="preserve">Ergebnis: </w:t>
      </w:r>
      <w:r>
        <w:t>Bei Patienten mit Albuminurie betrug das Risiko für Nierenversagen über 5 Jahre 3,2 % (GLP-1/SGLT2) versus 5,4 % (DPP-4-Inhibitoren), entsprechend einer Risk Ratio von 0,60 (95%-KI 0,42–0,82). Ohne Albuminurie zeigten sich keine wesentlichen Nierenschutzeffekte (RR 1,10, 95%-KI 0,90–1,38). Das Ergebnis unterstreicht den primären Nutzen dieser Substanzklassen bei albuminurischen Patienten.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USA-Gesundheitssystem mit Versicherungsdaten; Nierenausfall-Definition exportierbar auf europäische Kontexte.</w:t>
      </w:r>
    </w:p>
    <w:p>
      <w:r>
        <w:rPr>
          <w:color w:val="5A7D3A"/>
          <w:sz w:val="18"/>
        </w:rPr>
        <w:t>https://pubmed.ncbi.nlm.nih.gov/42778221/</w:t>
      </w:r>
    </w:p>
    <w:p>
      <w:pPr>
        <w:pStyle w:val="Heading2"/>
      </w:pPr>
      <w:r>
        <w:t>Time in Range allein beschreibt Sterblichkeit auf der Intensivstation nicht ausreichend</w:t>
      </w:r>
    </w:p>
    <w:p>
      <w:r>
        <w:rPr>
          <w:i/>
          <w:color w:val="666666"/>
          <w:sz w:val="18"/>
        </w:rPr>
        <w:t>Yang S et al.  ·  Diabetes Res Clin Pract  ·  23.09.2026  ·  PMID 42777923</w:t>
      </w:r>
    </w:p>
    <w:p>
      <w:r>
        <w:t>Retrospektive 48-h-Landmark-Analyse aus drei ICU-Datenbanken (USA, Niederlande) zur Assoziation der Zusammensetzung von Glukose-Messwerten (oberhalb/unterhalb des Zielbereichs) mit ICU-Mortalität.</w:t>
      </w:r>
    </w:p>
    <w:p>
      <w:r>
        <w:rPr>
          <w:b/>
        </w:rPr>
        <w:t xml:space="preserve">Ergebnis: </w:t>
      </w:r>
      <w:r>
        <w:t>Bei gleichem Time in Range zeigte ein Ersatz von 5 Prozentpunkten oberhalb (&gt;180 mg/dL) durch unterhalb (&lt; 70 mg/dL) höhere Mortalität an: Odds Ratios 1,212 (MIMIC-IV, n=10.732), 1,082 (eICU, n=17.444) und 1,182 (AmsterdamUMCdb, n=4.699). Effekt am stärksten in den ersten 2 Tagen. Zeigt, dass Hypoglykämie-Komposition das Ergebnis treibt, nicht nur der Durchschnittswert.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Drei ICU-Datenbanken (USA, Niederlande, USA); relevant für deutsches ICU-Glukosemanagement und Monitoring-Strategien.</w:t>
      </w:r>
    </w:p>
    <w:p>
      <w:r>
        <w:rPr>
          <w:color w:val="5A7D3A"/>
          <w:sz w:val="18"/>
        </w:rPr>
        <w:t>https://pubmed.ncbi.nlm.nih.gov/42777923/</w:t>
      </w:r>
    </w:p>
    <w:p>
      <w:pPr>
        <w:pStyle w:val="Heading2"/>
      </w:pPr>
      <w:r>
        <w:t>Intelligente Insulinpens und verbundene Systeme: regulatorische und klinische Bewertung</w:t>
      </w:r>
    </w:p>
    <w:p>
      <w:r>
        <w:rPr>
          <w:i/>
          <w:color w:val="666666"/>
          <w:sz w:val="18"/>
        </w:rPr>
        <w:t>Jendle J et al.  ·  Diabetologia  ·  23.09.2026  ·  PMID 42776165</w:t>
      </w:r>
    </w:p>
    <w:p>
      <w:r>
        <w:t>Narratives Expertenpapier (17 Autoren aus Europa, UK, USA) zur Klassifizierung und klinischen Evidenz von Standard-, Connected- und Smart-Insulin-Pens unter Berücksichtigung regulatorischer Pfade.</w:t>
      </w:r>
    </w:p>
    <w:p>
      <w:r>
        <w:rPr>
          <w:b/>
        </w:rPr>
        <w:t xml:space="preserve">Ergebnis: </w:t>
      </w:r>
      <w:r>
        <w:t>Schlüsselbotschaften: Standard-Insulinpens bleiben sicher und weit verbreitet. Connected Pens und Smart-Pen-Systeme (mit CGM gekoppelt, algorithmusgestützt) zeigen potenziell Verbesserungen bei Glykämie-Management, Therapietreue und Patientenzufriedenheit. Jedoch: Hochwertige klinische und gesundheitsökonomische Studien fehlen noch für breite Erstattungs- und Versorgungsakzeptanz.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Österreich, Belgien, Dänemark, Frankreich, UK, Italien vertreten; adressiert Hürden zwischen Regulierung und Praxisanwendung.</w:t>
      </w:r>
    </w:p>
    <w:p>
      <w:r>
        <w:rPr>
          <w:color w:val="5A7D3A"/>
          <w:sz w:val="18"/>
        </w:rPr>
        <w:t>https://pubmed.ncbi.nlm.nih.gov/42776165/</w:t>
      </w:r>
    </w:p>
    <w:p>
      <w:pPr>
        <w:pStyle w:val="Heading2"/>
      </w:pPr>
      <w:r>
        <w:t>Kontinuierliche Glukosemessung und automatisierte Insulinabgabe in Krankenhäusern: internationale Handlungsempfehlungen</w:t>
      </w:r>
    </w:p>
    <w:p>
      <w:r>
        <w:rPr>
          <w:i/>
          <w:color w:val="666666"/>
          <w:sz w:val="18"/>
        </w:rPr>
        <w:t>Olsen MT et al.  ·  Diabetes Care  ·  22.09.2026  ·  PMID 42770563</w:t>
      </w:r>
    </w:p>
    <w:p>
      <w:r>
        <w:t>Konsenspapier internationaler Experten (Dänemark, UK, Deutschland, USA, Belgien) zu Anwendung von CGM, Insulinpumpen und Closed-Loop-Systemen bei hospitalisierten nicht-kritisch kranken Erwachsenen.</w:t>
      </w:r>
    </w:p>
    <w:p>
      <w:r>
        <w:rPr>
          <w:b/>
        </w:rPr>
        <w:t xml:space="preserve">Ergebnis: </w:t>
      </w:r>
      <w:r>
        <w:t>Positionspapier definiert Auswahlkriterien für diese Technologien im stationären Einsatz, CGM-Alarmschwellen, Schulungsanforderungen, perioperative Richtlinien und Anforderungen an Informationssysteme. Konkrete, umsetzbareRegeln werden genannt (z. B. für Hypo- und Hyperglykämie-Alarme, Dokumentation). Das Papier adressiert Standardisierungslücken in der klinischen Praxis.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UK, Deutschland vertreten; direkt transferierbar auf deutsches Krankenhausmanagement und DMP-Update.</w:t>
      </w:r>
    </w:p>
    <w:p>
      <w:r>
        <w:rPr>
          <w:color w:val="5A7D3A"/>
          <w:sz w:val="18"/>
        </w:rPr>
        <w:t>https://pubmed.ncbi.nlm.nih.gov/42770563/</w:t>
      </w:r>
    </w:p>
    <w:p>
      <w:pPr>
        <w:pStyle w:val="Heading2"/>
      </w:pPr>
      <w:r>
        <w:t>GLP-1-Rezeptoragonisten senken osteocalcin-exprimierende Monozyten bei Typ-2-Diabetes</w:t>
      </w:r>
    </w:p>
    <w:p>
      <w:r>
        <w:rPr>
          <w:i/>
          <w:color w:val="666666"/>
          <w:sz w:val="18"/>
        </w:rPr>
        <w:t>Carafa A et al.  ·  Acta Diabetol  ·  21.09.2026  ·  PMID 42766134</w:t>
      </w:r>
    </w:p>
    <w:p>
      <w:r>
        <w:t>Pilotstudie (Italien) zur Wirkung von GLP-1-Rezeptoragonisten als Add-on zu Metformin auf CD14+Osteocalcin+-Monozyten, einen potenziellen Marker für vaskuläres Risiko.</w:t>
      </w:r>
    </w:p>
    <w:p>
      <w:r>
        <w:rPr>
          <w:b/>
        </w:rPr>
        <w:t xml:space="preserve">Ergebnis: </w:t>
      </w:r>
      <w:r>
        <w:t>Nach 12 Wochen GLP-1-RA-Add-on sank der Anteil dieser Monozyten von 4,5 % auf 2,2 % (p=0,019, signifikant bereits nach 1 Woche). Ohne GLP-1-RA keine Veränderung (p=0,31). In-vitro-Daten deuteten auf indirekte systemische Mechanismen statt direkter Monozyteneffekte hin. Identifiziert einen neuen potenziellen kardiovaskulären Schutzmechanismus.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Italien; Pilotstudie mit n=35; Mechanismus erklärt nicht vollständig, aber Richtung für weitere Grundlagenforschung.</w:t>
      </w:r>
    </w:p>
    <w:p>
      <w:r>
        <w:rPr>
          <w:color w:val="5A7D3A"/>
          <w:sz w:val="18"/>
        </w:rPr>
        <w:t>https://pubmed.ncbi.nlm.nih.gov/42766134/</w:t>
      </w:r>
    </w:p>
    <w:p>
      <w:pPr>
        <w:pStyle w:val="Heading2"/>
      </w:pPr>
      <w:r>
        <w:t>Nierentypisierung nach eGFR-Cystatin-C/Kreatinin-Quotient vorhersagt kardiovaskuläre Erkrankung und Nierenversagen bei Diabetes</w:t>
      </w:r>
    </w:p>
    <w:p>
      <w:r>
        <w:rPr>
          <w:i/>
          <w:color w:val="666666"/>
          <w:sz w:val="18"/>
        </w:rPr>
        <w:t>Fang Y et al.  ·  BMJ Open Diabetes Res Care  ·  17.09.2026  ·  PMID 42754334</w:t>
      </w:r>
    </w:p>
    <w:p>
      <w:r>
        <w:t>Cross-sectional-Analyse (China) von 182 Patienten mit biopsieverifizierter diabetischer Nephropathie zur Bedeutung der Selective Glomerular Hypofiltration Syndrome (SGHS, eGFRcys/eGFRcr &lt; 0,60) für kardiovaskuläres Risiko und Nierenprogression.</w:t>
      </w:r>
    </w:p>
    <w:p>
      <w:r>
        <w:rPr>
          <w:b/>
        </w:rPr>
        <w:t xml:space="preserve">Ergebnis: </w:t>
      </w:r>
      <w:r>
        <w:t>SGHS war unabhängig mit Prävalenz kardiovaskulärer Erkrankungen assoziiert (OR 9,27; 95%-KI 3,20–26,84), mit besserer AUC (0,730) als eGFRcr allein (0,602). Nach Median 30,1 Monaten zeigten SGHS-Patienten höhere Progressionsrate zu ESRD (HR 2,645; 95%-KI 1,564–4,472). Der eGFRcys/eGFRcr-Quotient ist schnell bestimmbar und könnte als Risiko-Stratifizierungstool dienen.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China; zeigt neue Nierenphänotypisierung jenseits Standard-eGFR; internationale Validierung nötig.</w:t>
      </w:r>
    </w:p>
    <w:p>
      <w:r>
        <w:rPr>
          <w:color w:val="5A7D3A"/>
          <w:sz w:val="18"/>
        </w:rPr>
        <w:t>https://pubmed.ncbi.nlm.nih.gov/42754334/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Diabetes</dc:title>
  <dc:subject/>
  <dc:creator>Monitor Versorgungsforschung</dc:creator>
  <cp:keywords/>
  <dc:description>generated by python-docx</dc:description>
  <cp:lastModifiedBy/>
  <cp:revision>1</cp:revision>
  <dcterms:created xsi:type="dcterms:W3CDTF">2026-09-24T06:00:00Z</dcterms:created>
  <dcterms:modified xsi:type="dcterms:W3CDTF">2026-09-24T06:00:00Z</dcterms:modified>
  <cp:category/>
</cp:coreProperties>
</file>